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5C5D4" w14:textId="3F76E77D" w:rsidR="00732B06" w:rsidRPr="00181DAD" w:rsidRDefault="00732B06" w:rsidP="00732B06">
      <w:pPr>
        <w:jc w:val="center"/>
      </w:pPr>
      <w:r w:rsidRPr="00181DAD">
        <w:rPr>
          <w:b/>
          <w:bCs/>
        </w:rPr>
        <w:t xml:space="preserve">PROJECT NO. </w:t>
      </w:r>
      <w:r>
        <w:rPr>
          <w:b/>
          <w:bCs/>
        </w:rPr>
        <w:t>5</w:t>
      </w:r>
      <w:r w:rsidR="0086436A">
        <w:rPr>
          <w:b/>
          <w:bCs/>
        </w:rPr>
        <w:t>7236</w:t>
      </w: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720"/>
        <w:gridCol w:w="4950"/>
      </w:tblGrid>
      <w:tr w:rsidR="00732B06" w:rsidRPr="00181DAD" w14:paraId="05250F74" w14:textId="77777777" w:rsidTr="00643B80">
        <w:trPr>
          <w:trHeight w:val="1341"/>
        </w:trPr>
        <w:tc>
          <w:tcPr>
            <w:tcW w:w="4230" w:type="dxa"/>
            <w:vAlign w:val="center"/>
          </w:tcPr>
          <w:p w14:paraId="74A33B8A" w14:textId="1047507E" w:rsidR="00732B06" w:rsidRPr="00181DAD" w:rsidRDefault="0086436A" w:rsidP="00643B80">
            <w:pPr>
              <w:rPr>
                <w:b/>
                <w:bCs/>
              </w:rPr>
            </w:pPr>
            <w:r>
              <w:rPr>
                <w:b/>
                <w:bCs/>
              </w:rPr>
              <w:t>TEXAS BACKUP POWER PACKAGE PROGRAM</w:t>
            </w:r>
            <w:r w:rsidR="00732B06">
              <w:rPr>
                <w:b/>
                <w:bCs/>
              </w:rPr>
              <w:t xml:space="preserve"> </w:t>
            </w:r>
          </w:p>
        </w:tc>
        <w:tc>
          <w:tcPr>
            <w:tcW w:w="720" w:type="dxa"/>
            <w:vAlign w:val="center"/>
          </w:tcPr>
          <w:p w14:paraId="3530220E" w14:textId="77777777" w:rsidR="00732B06" w:rsidRPr="00181DAD" w:rsidRDefault="00732B06" w:rsidP="00643B80">
            <w:pPr>
              <w:jc w:val="center"/>
              <w:rPr>
                <w:b/>
                <w:bCs/>
              </w:rPr>
            </w:pPr>
            <w:r w:rsidRPr="00181DAD">
              <w:rPr>
                <w:b/>
                <w:bCs/>
              </w:rPr>
              <w:t>§</w:t>
            </w:r>
          </w:p>
          <w:p w14:paraId="129755C5" w14:textId="77777777" w:rsidR="00732B06" w:rsidRPr="00181DAD" w:rsidRDefault="00732B06" w:rsidP="00643B80">
            <w:pPr>
              <w:jc w:val="center"/>
              <w:rPr>
                <w:b/>
                <w:bCs/>
              </w:rPr>
            </w:pPr>
            <w:r w:rsidRPr="00181DAD">
              <w:rPr>
                <w:b/>
                <w:bCs/>
              </w:rPr>
              <w:t>§</w:t>
            </w:r>
          </w:p>
          <w:p w14:paraId="52C22282" w14:textId="77777777" w:rsidR="00732B06" w:rsidRPr="00181DAD" w:rsidRDefault="00732B06" w:rsidP="00643B80">
            <w:pPr>
              <w:jc w:val="center"/>
              <w:rPr>
                <w:b/>
                <w:bCs/>
              </w:rPr>
            </w:pPr>
            <w:r w:rsidRPr="00181DAD">
              <w:rPr>
                <w:b/>
                <w:bCs/>
              </w:rPr>
              <w:t>§</w:t>
            </w:r>
          </w:p>
        </w:tc>
        <w:tc>
          <w:tcPr>
            <w:tcW w:w="4950" w:type="dxa"/>
            <w:vAlign w:val="center"/>
          </w:tcPr>
          <w:p w14:paraId="7CB2BB0D" w14:textId="77777777" w:rsidR="00732B06" w:rsidRPr="00181DAD" w:rsidRDefault="00732B06" w:rsidP="00643B80">
            <w:pPr>
              <w:jc w:val="center"/>
              <w:rPr>
                <w:b/>
                <w:bCs/>
              </w:rPr>
            </w:pPr>
            <w:r w:rsidRPr="00181DAD">
              <w:rPr>
                <w:b/>
                <w:bCs/>
              </w:rPr>
              <w:t>BEFORE THE</w:t>
            </w:r>
          </w:p>
          <w:p w14:paraId="6FBEDC27" w14:textId="77777777" w:rsidR="00732B06" w:rsidRPr="00181DAD" w:rsidRDefault="00732B06" w:rsidP="00643B80">
            <w:pPr>
              <w:jc w:val="center"/>
              <w:rPr>
                <w:b/>
                <w:bCs/>
              </w:rPr>
            </w:pPr>
            <w:r w:rsidRPr="00181DAD">
              <w:rPr>
                <w:b/>
                <w:bCs/>
              </w:rPr>
              <w:t>PUBLIC UTILITY COMMISSION</w:t>
            </w:r>
          </w:p>
          <w:p w14:paraId="0810BCBB" w14:textId="77777777" w:rsidR="00732B06" w:rsidRPr="00181DAD" w:rsidRDefault="00732B06" w:rsidP="00643B80">
            <w:pPr>
              <w:jc w:val="center"/>
              <w:rPr>
                <w:b/>
                <w:bCs/>
              </w:rPr>
            </w:pPr>
            <w:r w:rsidRPr="00181DAD">
              <w:rPr>
                <w:b/>
                <w:bCs/>
              </w:rPr>
              <w:t>OF TEXAS</w:t>
            </w:r>
          </w:p>
        </w:tc>
      </w:tr>
    </w:tbl>
    <w:p w14:paraId="464B12BB" w14:textId="77777777" w:rsidR="00BA22AA" w:rsidRDefault="00BA22AA" w:rsidP="004C488D">
      <w:pPr>
        <w:tabs>
          <w:tab w:val="left" w:pos="2254"/>
        </w:tabs>
        <w:spacing w:before="5"/>
        <w:rPr>
          <w:b/>
          <w:sz w:val="23"/>
        </w:rPr>
      </w:pPr>
    </w:p>
    <w:p w14:paraId="29F63875" w14:textId="155B062E" w:rsidR="00BA22AA" w:rsidRDefault="0086436A" w:rsidP="00C04E59">
      <w:pPr>
        <w:ind w:right="19"/>
        <w:jc w:val="center"/>
        <w:rPr>
          <w:b/>
          <w:spacing w:val="-2"/>
          <w:sz w:val="23"/>
          <w:u w:val="thick"/>
        </w:rPr>
      </w:pPr>
      <w:r>
        <w:rPr>
          <w:b/>
          <w:spacing w:val="3"/>
          <w:sz w:val="23"/>
          <w:u w:val="thick"/>
        </w:rPr>
        <w:t>POWERFIN PARTNERS</w:t>
      </w:r>
      <w:r w:rsidR="00C04E59">
        <w:rPr>
          <w:b/>
          <w:spacing w:val="3"/>
          <w:sz w:val="23"/>
          <w:u w:val="thick"/>
        </w:rPr>
        <w:t xml:space="preserve"> </w:t>
      </w:r>
      <w:r w:rsidR="00BA22AA">
        <w:rPr>
          <w:b/>
          <w:spacing w:val="-2"/>
          <w:sz w:val="23"/>
          <w:u w:val="thick"/>
        </w:rPr>
        <w:t>COMMENTS</w:t>
      </w:r>
    </w:p>
    <w:p w14:paraId="72415370" w14:textId="77777777" w:rsidR="00C04E59" w:rsidRDefault="00C04E59" w:rsidP="00C04E59">
      <w:pPr>
        <w:ind w:right="19"/>
        <w:jc w:val="center"/>
        <w:rPr>
          <w:b/>
          <w:sz w:val="23"/>
        </w:rPr>
      </w:pPr>
    </w:p>
    <w:p w14:paraId="125D726E" w14:textId="453761BC" w:rsidR="00580A7E" w:rsidRDefault="00924F5E" w:rsidP="00A0526E">
      <w:pPr>
        <w:pStyle w:val="BodyText"/>
        <w:spacing w:before="120" w:line="362" w:lineRule="auto"/>
        <w:ind w:firstLine="741"/>
        <w:jc w:val="both"/>
      </w:pPr>
      <w:r>
        <w:t xml:space="preserve">PowerFin </w:t>
      </w:r>
      <w:r w:rsidR="0086436A">
        <w:t>Partners</w:t>
      </w:r>
      <w:r w:rsidR="00E121EA">
        <w:t xml:space="preserve"> </w:t>
      </w:r>
      <w:r w:rsidR="00732B06">
        <w:t>(“</w:t>
      </w:r>
      <w:r>
        <w:t>PowerFin</w:t>
      </w:r>
      <w:r w:rsidR="00732B06">
        <w:t xml:space="preserve">”) </w:t>
      </w:r>
      <w:r w:rsidR="00E16574">
        <w:t xml:space="preserve">respectfully </w:t>
      </w:r>
      <w:r w:rsidR="00C04E59">
        <w:t xml:space="preserve">submits these </w:t>
      </w:r>
      <w:r w:rsidR="00580A7E">
        <w:t xml:space="preserve">responses to </w:t>
      </w:r>
      <w:r w:rsidR="00BA0846">
        <w:t>discussion topics</w:t>
      </w:r>
      <w:r w:rsidR="00580A7E">
        <w:t xml:space="preserve"> </w:t>
      </w:r>
      <w:r w:rsidR="00BA0846">
        <w:t>posed by</w:t>
      </w:r>
      <w:r w:rsidR="00580A7E">
        <w:rPr>
          <w:spacing w:val="-15"/>
        </w:rPr>
        <w:t xml:space="preserve"> </w:t>
      </w:r>
      <w:r w:rsidR="00BA22AA">
        <w:t>the Public</w:t>
      </w:r>
      <w:r w:rsidR="00BA22AA">
        <w:rPr>
          <w:spacing w:val="31"/>
        </w:rPr>
        <w:t xml:space="preserve"> </w:t>
      </w:r>
      <w:r w:rsidR="00BA22AA">
        <w:t>Utility</w:t>
      </w:r>
      <w:r w:rsidR="00C04E59">
        <w:rPr>
          <w:spacing w:val="39"/>
        </w:rPr>
        <w:t xml:space="preserve"> </w:t>
      </w:r>
      <w:r w:rsidR="00BA22AA">
        <w:t>Commission</w:t>
      </w:r>
      <w:r w:rsidR="0086436A">
        <w:t xml:space="preserve"> of Texas</w:t>
      </w:r>
      <w:r w:rsidR="00580A7E">
        <w:t xml:space="preserve"> in its </w:t>
      </w:r>
      <w:r w:rsidR="00BA0846">
        <w:t xml:space="preserve">Texas Backup Power Package Program Workshop on March 20, </w:t>
      </w:r>
      <w:r w:rsidR="00580A7E">
        <w:t>2025</w:t>
      </w:r>
      <w:r w:rsidR="0086436A">
        <w:t xml:space="preserve"> </w:t>
      </w:r>
      <w:r w:rsidR="00D31686">
        <w:t xml:space="preserve">(the “TBPP Workshop”) </w:t>
      </w:r>
      <w:r w:rsidR="00BA0846">
        <w:t xml:space="preserve">for </w:t>
      </w:r>
      <w:r w:rsidR="00580A7E">
        <w:rPr>
          <w:i/>
          <w:iCs/>
        </w:rPr>
        <w:t>Project No. 57236</w:t>
      </w:r>
      <w:r w:rsidR="00732B06">
        <w:t>.</w:t>
      </w:r>
    </w:p>
    <w:p w14:paraId="19431097" w14:textId="77777777" w:rsidR="00A0526E" w:rsidRDefault="00A0526E" w:rsidP="00C04E59">
      <w:pPr>
        <w:pStyle w:val="BodyText"/>
        <w:spacing w:line="362" w:lineRule="auto"/>
        <w:ind w:right="138"/>
        <w:jc w:val="both"/>
        <w:rPr>
          <w:b/>
          <w:bCs/>
          <w:i/>
          <w:iCs/>
        </w:rPr>
      </w:pPr>
    </w:p>
    <w:p w14:paraId="18FC7705" w14:textId="358933AF" w:rsidR="00D31686" w:rsidRDefault="00D31686" w:rsidP="00D31686">
      <w:pPr>
        <w:pStyle w:val="BodyText"/>
        <w:spacing w:line="362" w:lineRule="auto"/>
        <w:ind w:right="138"/>
        <w:jc w:val="both"/>
        <w:rPr>
          <w:b/>
          <w:bCs/>
          <w:i/>
          <w:iCs/>
        </w:rPr>
      </w:pPr>
      <w:r>
        <w:rPr>
          <w:b/>
          <w:bCs/>
          <w:i/>
          <w:iCs/>
        </w:rPr>
        <w:t>Comments A</w:t>
      </w:r>
      <w:r w:rsidR="001602F0">
        <w:rPr>
          <w:b/>
          <w:bCs/>
          <w:i/>
          <w:iCs/>
        </w:rPr>
        <w:t xml:space="preserve">, </w:t>
      </w:r>
      <w:r>
        <w:rPr>
          <w:b/>
          <w:bCs/>
          <w:i/>
          <w:iCs/>
        </w:rPr>
        <w:t>B</w:t>
      </w:r>
      <w:r w:rsidR="00B36938">
        <w:rPr>
          <w:b/>
          <w:bCs/>
          <w:i/>
          <w:iCs/>
        </w:rPr>
        <w:t xml:space="preserve">, </w:t>
      </w:r>
      <w:r w:rsidR="001602F0">
        <w:rPr>
          <w:b/>
          <w:bCs/>
          <w:i/>
          <w:iCs/>
        </w:rPr>
        <w:t>C</w:t>
      </w:r>
      <w:r w:rsidR="0005533F">
        <w:rPr>
          <w:b/>
          <w:bCs/>
          <w:i/>
          <w:iCs/>
        </w:rPr>
        <w:t>,</w:t>
      </w:r>
      <w:r w:rsidR="00B36938">
        <w:rPr>
          <w:b/>
          <w:bCs/>
          <w:i/>
          <w:iCs/>
        </w:rPr>
        <w:t xml:space="preserve"> D</w:t>
      </w:r>
      <w:r w:rsidR="0005533F">
        <w:rPr>
          <w:b/>
          <w:bCs/>
          <w:i/>
          <w:iCs/>
        </w:rPr>
        <w:t xml:space="preserve"> and E</w:t>
      </w:r>
      <w:r>
        <w:rPr>
          <w:b/>
          <w:bCs/>
          <w:i/>
          <w:iCs/>
        </w:rPr>
        <w:t>, below, address TBPP Workshop questions relating to how (</w:t>
      </w:r>
      <w:proofErr w:type="spellStart"/>
      <w:r>
        <w:rPr>
          <w:b/>
          <w:bCs/>
          <w:i/>
          <w:iCs/>
        </w:rPr>
        <w:t>i</w:t>
      </w:r>
      <w:proofErr w:type="spellEnd"/>
      <w:r>
        <w:rPr>
          <w:b/>
          <w:bCs/>
          <w:i/>
          <w:iCs/>
        </w:rPr>
        <w:t xml:space="preserve">) cost offsets, particularly alternative ownership models and financing mechanisms, and (ii) flexibility and applicability of technical specifications </w:t>
      </w:r>
      <w:r w:rsidR="009012B5">
        <w:rPr>
          <w:b/>
          <w:bCs/>
          <w:i/>
          <w:iCs/>
        </w:rPr>
        <w:t xml:space="preserve">that </w:t>
      </w:r>
      <w:r>
        <w:rPr>
          <w:b/>
          <w:bCs/>
          <w:i/>
          <w:iCs/>
        </w:rPr>
        <w:t xml:space="preserve">can be implemented to enable </w:t>
      </w:r>
      <w:r w:rsidR="00FD2489">
        <w:rPr>
          <w:b/>
          <w:bCs/>
          <w:i/>
          <w:iCs/>
        </w:rPr>
        <w:t xml:space="preserve">successful implementation and operation of </w:t>
      </w:r>
      <w:r>
        <w:rPr>
          <w:b/>
          <w:bCs/>
          <w:i/>
          <w:iCs/>
        </w:rPr>
        <w:t>T</w:t>
      </w:r>
      <w:r w:rsidR="001602F0">
        <w:rPr>
          <w:b/>
          <w:bCs/>
          <w:i/>
          <w:iCs/>
        </w:rPr>
        <w:t>exas Backup Power Packages (“TBPPs”)</w:t>
      </w:r>
      <w:r>
        <w:rPr>
          <w:b/>
          <w:bCs/>
          <w:i/>
          <w:iCs/>
        </w:rPr>
        <w:t>.</w:t>
      </w:r>
    </w:p>
    <w:p w14:paraId="3C32019D" w14:textId="77777777" w:rsidR="00D31686" w:rsidRPr="00F87C46" w:rsidRDefault="00D31686" w:rsidP="00D31686">
      <w:pPr>
        <w:pStyle w:val="BodyText"/>
        <w:spacing w:line="362" w:lineRule="auto"/>
        <w:ind w:right="138"/>
        <w:jc w:val="both"/>
        <w:rPr>
          <w:b/>
          <w:bCs/>
        </w:rPr>
      </w:pPr>
    </w:p>
    <w:p w14:paraId="658F0DBF" w14:textId="744BE18C" w:rsidR="00EF7D24" w:rsidRDefault="00D31686" w:rsidP="00A0526E">
      <w:pPr>
        <w:pStyle w:val="BodyText"/>
        <w:numPr>
          <w:ilvl w:val="0"/>
          <w:numId w:val="1"/>
        </w:numPr>
        <w:spacing w:line="362" w:lineRule="auto"/>
        <w:ind w:right="138"/>
        <w:jc w:val="both"/>
      </w:pPr>
      <w:r w:rsidRPr="00F87C46">
        <w:t xml:space="preserve">Third-party financing of onsite generating </w:t>
      </w:r>
      <w:r w:rsidR="009012B5">
        <w:t xml:space="preserve">and storage </w:t>
      </w:r>
      <w:r w:rsidRPr="00F87C46">
        <w:t>assets</w:t>
      </w:r>
      <w:r w:rsidR="005A1618">
        <w:t>,</w:t>
      </w:r>
      <w:r w:rsidRPr="00F87C46">
        <w:t xml:space="preserve"> </w:t>
      </w:r>
      <w:r w:rsidR="009012B5">
        <w:t>such as</w:t>
      </w:r>
      <w:r w:rsidRPr="00F87C46">
        <w:t xml:space="preserve"> TBPPs</w:t>
      </w:r>
      <w:r w:rsidR="005A1618">
        <w:t>,</w:t>
      </w:r>
      <w:r w:rsidRPr="00F87C46">
        <w:t xml:space="preserve"> enables critical facilitie</w:t>
      </w:r>
      <w:r w:rsidR="001B4E1B" w:rsidRPr="00F87C46">
        <w:t>s</w:t>
      </w:r>
      <w:r w:rsidR="005A1618">
        <w:t xml:space="preserve"> </w:t>
      </w:r>
      <w:r w:rsidRPr="00F87C46">
        <w:t xml:space="preserve">to </w:t>
      </w:r>
      <w:r w:rsidR="00DE0855" w:rsidRPr="00F87C46">
        <w:t xml:space="preserve">save money on their energy bills without </w:t>
      </w:r>
      <w:r w:rsidR="001602F0" w:rsidRPr="00F87C46">
        <w:t xml:space="preserve">the burden of </w:t>
      </w:r>
      <w:r w:rsidR="00DE0855" w:rsidRPr="00F87C46">
        <w:t>upfront capital investment</w:t>
      </w:r>
      <w:r w:rsidR="00EF7D24" w:rsidRPr="00F87C46">
        <w:t xml:space="preserve"> or long-term asset maintenance obligations</w:t>
      </w:r>
      <w:r w:rsidR="009012B5">
        <w:t xml:space="preserve">. This is the case because </w:t>
      </w:r>
      <w:r w:rsidR="009012B5" w:rsidRPr="00F87C46">
        <w:t xml:space="preserve">many </w:t>
      </w:r>
      <w:r w:rsidR="009012B5">
        <w:t>facility operators</w:t>
      </w:r>
      <w:r w:rsidR="009012B5" w:rsidRPr="00F87C46">
        <w:t xml:space="preserve"> are undercapitalized and</w:t>
      </w:r>
      <w:r w:rsidR="009012B5">
        <w:t>/or</w:t>
      </w:r>
      <w:r w:rsidR="009012B5" w:rsidRPr="00F87C46">
        <w:t xml:space="preserve"> </w:t>
      </w:r>
      <w:r w:rsidR="009012B5">
        <w:t xml:space="preserve">organized as </w:t>
      </w:r>
      <w:r w:rsidR="005A1618">
        <w:t xml:space="preserve">not-for-profit </w:t>
      </w:r>
      <w:r w:rsidR="009012B5">
        <w:t>entities</w:t>
      </w:r>
      <w:r w:rsidR="005A1618">
        <w:t>,</w:t>
      </w:r>
      <w:r w:rsidR="009012B5">
        <w:t xml:space="preserve"> thus </w:t>
      </w:r>
      <w:r w:rsidR="005A1618">
        <w:t>lacking</w:t>
      </w:r>
      <w:r w:rsidR="009012B5" w:rsidRPr="00F87C46">
        <w:t xml:space="preserve"> taxable income </w:t>
      </w:r>
      <w:r w:rsidR="009012B5">
        <w:t xml:space="preserve">against which to monetize </w:t>
      </w:r>
      <w:r w:rsidR="009012B5" w:rsidRPr="00F87C46">
        <w:t>federal tax credits</w:t>
      </w:r>
      <w:r w:rsidR="009012B5">
        <w:t xml:space="preserve"> and other incentives. In typical project finance structures, third party investors fill these two needs</w:t>
      </w:r>
      <w:r w:rsidR="005A1618">
        <w:t>,</w:t>
      </w:r>
      <w:r w:rsidR="009012B5">
        <w:t xml:space="preserve">  sharing the </w:t>
      </w:r>
      <w:r w:rsidR="005A1618">
        <w:t xml:space="preserve">economic benefits </w:t>
      </w:r>
      <w:r w:rsidR="009012B5">
        <w:t>with the critical facility operator</w:t>
      </w:r>
      <w:r w:rsidR="00EF7D24" w:rsidRPr="00F87C46">
        <w:t>. The estimated cost savings to critical facilities of onsite generation from TBPPs, if allowed to operate during non-emergency conditions, ranges from $30 per megawatt-hour to $60 per megawatt-hour</w:t>
      </w:r>
      <w:r w:rsidR="001B4E1B" w:rsidRPr="00F87C46">
        <w:t>, relative to prevailing retail electricity rates in Texas</w:t>
      </w:r>
      <w:r w:rsidR="00EF7D24" w:rsidRPr="00F87C46">
        <w:t>.</w:t>
      </w:r>
    </w:p>
    <w:p w14:paraId="29B1E3B9" w14:textId="77777777" w:rsidR="00926DC6" w:rsidRDefault="00926DC6" w:rsidP="00926DC6">
      <w:pPr>
        <w:pStyle w:val="BodyText"/>
        <w:spacing w:line="362" w:lineRule="auto"/>
        <w:ind w:left="1080" w:right="138"/>
        <w:jc w:val="both"/>
      </w:pPr>
    </w:p>
    <w:p w14:paraId="7A7B8267" w14:textId="77777777" w:rsidR="006673AF" w:rsidRDefault="008227ED" w:rsidP="008227ED">
      <w:pPr>
        <w:pStyle w:val="BodyText"/>
        <w:numPr>
          <w:ilvl w:val="0"/>
          <w:numId w:val="1"/>
        </w:numPr>
        <w:spacing w:line="362" w:lineRule="auto"/>
        <w:ind w:right="138"/>
        <w:jc w:val="both"/>
      </w:pPr>
      <w:r>
        <w:t>To protect customers, investors and other stakeholders</w:t>
      </w:r>
      <w:r w:rsidR="009012B5">
        <w:t>, p</w:t>
      </w:r>
      <w:r w:rsidR="00DE0855" w:rsidRPr="00F87C46">
        <w:t>erformance guarantees</w:t>
      </w:r>
      <w:r w:rsidR="00EF7D24" w:rsidRPr="00F87C46">
        <w:t xml:space="preserve"> are always </w:t>
      </w:r>
      <w:r w:rsidR="00DE0855" w:rsidRPr="00F87C46">
        <w:t xml:space="preserve">provided by </w:t>
      </w:r>
      <w:r w:rsidR="00EF7D24" w:rsidRPr="00F87C46">
        <w:t xml:space="preserve">third-party </w:t>
      </w:r>
      <w:r w:rsidR="00DE0855" w:rsidRPr="00F87C46">
        <w:t xml:space="preserve">institutional investors and secured by the underlying generating assets. As is common project-finance practice, </w:t>
      </w:r>
      <w:r w:rsidR="00B1422B">
        <w:t>under</w:t>
      </w:r>
      <w:r w:rsidR="00DE0855" w:rsidRPr="00F87C46">
        <w:t xml:space="preserve">-performance </w:t>
      </w:r>
      <w:r>
        <w:t xml:space="preserve">at any period </w:t>
      </w:r>
      <w:r w:rsidR="00DE0855" w:rsidRPr="00F87C46">
        <w:t xml:space="preserve">over the 20+ year life of the generating assets </w:t>
      </w:r>
      <w:r w:rsidR="001B4E1B" w:rsidRPr="00F87C46">
        <w:t xml:space="preserve">would </w:t>
      </w:r>
      <w:r w:rsidR="00DE0855" w:rsidRPr="00F87C46">
        <w:t xml:space="preserve">trigger </w:t>
      </w:r>
      <w:r w:rsidR="00B1422B">
        <w:t xml:space="preserve">pre-determined </w:t>
      </w:r>
      <w:r>
        <w:t xml:space="preserve">monetary </w:t>
      </w:r>
      <w:r w:rsidR="00B1422B">
        <w:t>penalties</w:t>
      </w:r>
      <w:r>
        <w:t xml:space="preserve"> and liens</w:t>
      </w:r>
      <w:r w:rsidR="00DE0855" w:rsidRPr="00F87C46">
        <w:t xml:space="preserve">. In the case </w:t>
      </w:r>
      <w:r w:rsidR="00EF7D24" w:rsidRPr="00F87C46">
        <w:t xml:space="preserve">of </w:t>
      </w:r>
      <w:r w:rsidR="00DE0855" w:rsidRPr="00F87C46">
        <w:t xml:space="preserve">the Texas Energy Fund, we suggest that non-performance or unavailability of a TBPP during </w:t>
      </w:r>
      <w:r w:rsidR="00EF7D24" w:rsidRPr="00F87C46">
        <w:t xml:space="preserve">clearly defined </w:t>
      </w:r>
      <w:r w:rsidR="001B4E1B" w:rsidRPr="00F87C46">
        <w:t>“</w:t>
      </w:r>
      <w:r w:rsidR="00DE0855" w:rsidRPr="00F87C46">
        <w:t>emergency grid conditions</w:t>
      </w:r>
      <w:r w:rsidR="001B4E1B" w:rsidRPr="00F87C46">
        <w:t>”</w:t>
      </w:r>
      <w:r w:rsidR="00DE0855" w:rsidRPr="00F87C46">
        <w:t xml:space="preserve"> </w:t>
      </w:r>
      <w:r w:rsidR="003D0FB1">
        <w:t>would</w:t>
      </w:r>
      <w:r w:rsidR="00DE0855" w:rsidRPr="00F87C46">
        <w:t xml:space="preserve"> trigger </w:t>
      </w:r>
      <w:r w:rsidR="003D0FB1">
        <w:t>such penalties</w:t>
      </w:r>
      <w:r w:rsidR="00DE0855" w:rsidRPr="00F87C46">
        <w:t xml:space="preserve">, </w:t>
      </w:r>
      <w:r w:rsidR="003D0FB1">
        <w:t xml:space="preserve">potentially to include </w:t>
      </w:r>
      <w:r w:rsidR="00EF7D24" w:rsidRPr="00F87C46">
        <w:t>recapture</w:t>
      </w:r>
      <w:r w:rsidR="00DE0855" w:rsidRPr="00F87C46">
        <w:t xml:space="preserve"> of previously deployed TEF fund</w:t>
      </w:r>
      <w:r w:rsidR="00EF7D24" w:rsidRPr="00F87C46">
        <w:t xml:space="preserve">s or a </w:t>
      </w:r>
      <w:r w:rsidR="00EF7D24" w:rsidRPr="00F87C46">
        <w:lastRenderedPageBreak/>
        <w:t>springing lien in favor of the State of Texas</w:t>
      </w:r>
      <w:r w:rsidR="001B4E1B" w:rsidRPr="00F87C46">
        <w:t xml:space="preserve"> (or the entity disbursing TEF)</w:t>
      </w:r>
      <w:r w:rsidR="00EF7D24" w:rsidRPr="00F87C46">
        <w:t>. Such triggers would ensure performance of the assets and material recourse in favor of the critical facility as well as the citizens of Texas.</w:t>
      </w:r>
      <w:r w:rsidR="001B4E1B" w:rsidRPr="00F87C46">
        <w:t xml:space="preserve"> </w:t>
      </w:r>
    </w:p>
    <w:p w14:paraId="6F46A798" w14:textId="77777777" w:rsidR="006673AF" w:rsidRDefault="006673AF" w:rsidP="006673AF">
      <w:pPr>
        <w:pStyle w:val="ListParagraph"/>
      </w:pPr>
    </w:p>
    <w:p w14:paraId="21BD9C1A" w14:textId="7D8111D0" w:rsidR="00D31686" w:rsidRDefault="001B4E1B" w:rsidP="008227ED">
      <w:pPr>
        <w:pStyle w:val="BodyText"/>
        <w:numPr>
          <w:ilvl w:val="0"/>
          <w:numId w:val="1"/>
        </w:numPr>
        <w:spacing w:line="362" w:lineRule="auto"/>
        <w:ind w:right="138"/>
        <w:jc w:val="both"/>
      </w:pPr>
      <w:r w:rsidRPr="00F87C46">
        <w:t>The implementation of third-party financing requirements</w:t>
      </w:r>
      <w:r w:rsidR="0005533F">
        <w:t xml:space="preserve"> and covenants (operating guarantees) </w:t>
      </w:r>
      <w:r w:rsidRPr="00F87C46">
        <w:t>mitigates the need to define technical specifications</w:t>
      </w:r>
      <w:r w:rsidR="0005533F">
        <w:t xml:space="preserve"> in order to protect critical facilities and taxpayers</w:t>
      </w:r>
      <w:r w:rsidRPr="00F87C46">
        <w:t>.</w:t>
      </w:r>
      <w:r w:rsidR="006673AF">
        <w:t xml:space="preserve"> As most participants have attested, prescribing rigid technical specifications for all TBPPs is extremely challenging, given highly uncertain future power market and grid operating scenarios, as well as consumption profiles that significantly vary from customer to customer. </w:t>
      </w:r>
      <w:r w:rsidR="0005533F">
        <w:t>Technical flexibility will be required to meet the needs of each critical facility’s unique operations and budgets, and to commensurately pass third-party financing diligence.</w:t>
      </w:r>
    </w:p>
    <w:p w14:paraId="035DB6DE" w14:textId="77777777" w:rsidR="003D0FB1" w:rsidRPr="00F87C46" w:rsidRDefault="003D0FB1" w:rsidP="008227ED">
      <w:pPr>
        <w:pStyle w:val="BodyText"/>
        <w:spacing w:line="362" w:lineRule="auto"/>
        <w:ind w:left="1080" w:right="138"/>
        <w:jc w:val="both"/>
      </w:pPr>
    </w:p>
    <w:p w14:paraId="507FD650" w14:textId="02CAE647" w:rsidR="00AB09BC" w:rsidRPr="007D2BD5" w:rsidRDefault="003D0FB1" w:rsidP="00D8236F">
      <w:pPr>
        <w:pStyle w:val="BodyText"/>
        <w:numPr>
          <w:ilvl w:val="0"/>
          <w:numId w:val="1"/>
        </w:numPr>
        <w:spacing w:line="362" w:lineRule="auto"/>
        <w:ind w:right="138"/>
        <w:jc w:val="both"/>
        <w:rPr>
          <w:spacing w:val="-2"/>
        </w:rPr>
      </w:pPr>
      <w:r>
        <w:t xml:space="preserve">As a general point, leasing </w:t>
      </w:r>
      <w:r w:rsidR="006124B7">
        <w:t xml:space="preserve">with performance guarantees, </w:t>
      </w:r>
      <w:r>
        <w:t xml:space="preserve">rather than purchasing </w:t>
      </w:r>
      <w:r w:rsidR="006124B7">
        <w:t xml:space="preserve">and operating, </w:t>
      </w:r>
      <w:r>
        <w:t>is common practice for operating enti</w:t>
      </w:r>
      <w:r w:rsidR="008227ED">
        <w:t>ti</w:t>
      </w:r>
      <w:r>
        <w:t>es</w:t>
      </w:r>
      <w:r w:rsidR="006124B7">
        <w:t xml:space="preserve"> of all kinds, but particularly critical facility operators, to alleviate capital and operating </w:t>
      </w:r>
      <w:r w:rsidR="00926DC6">
        <w:t>risks</w:t>
      </w:r>
      <w:r w:rsidR="006124B7">
        <w:t xml:space="preserve"> outside of their </w:t>
      </w:r>
      <w:r w:rsidR="00926DC6">
        <w:t>core</w:t>
      </w:r>
      <w:r w:rsidR="006124B7">
        <w:t xml:space="preserve"> domain</w:t>
      </w:r>
      <w:r>
        <w:t xml:space="preserve">. </w:t>
      </w:r>
      <w:r w:rsidR="006124B7">
        <w:t>T</w:t>
      </w:r>
      <w:r w:rsidR="001602F0" w:rsidRPr="00F87C46">
        <w:t xml:space="preserve">hird-party financing of onsite generating assets </w:t>
      </w:r>
      <w:r>
        <w:t xml:space="preserve">provides </w:t>
      </w:r>
      <w:r w:rsidR="001602F0" w:rsidRPr="00F87C46">
        <w:t xml:space="preserve">critical facilities </w:t>
      </w:r>
      <w:r>
        <w:t>the</w:t>
      </w:r>
      <w:r w:rsidR="001602F0" w:rsidRPr="00F87C46">
        <w:t xml:space="preserve"> equipment</w:t>
      </w:r>
      <w:r>
        <w:t xml:space="preserve"> </w:t>
      </w:r>
      <w:r w:rsidR="006124B7">
        <w:t xml:space="preserve">and guarantees </w:t>
      </w:r>
      <w:r>
        <w:t>they need to continue operations during grid outages</w:t>
      </w:r>
      <w:r w:rsidR="006124B7">
        <w:t>,</w:t>
      </w:r>
      <w:r>
        <w:t xml:space="preserve"> while allowing them to </w:t>
      </w:r>
      <w:r w:rsidR="006124B7">
        <w:t xml:space="preserve">efficiently retain </w:t>
      </w:r>
      <w:r>
        <w:t xml:space="preserve">their capital </w:t>
      </w:r>
      <w:r w:rsidR="0073561B">
        <w:t xml:space="preserve">and </w:t>
      </w:r>
      <w:r w:rsidR="006124B7">
        <w:t>focus on</w:t>
      </w:r>
      <w:r>
        <w:t xml:space="preserve"> their core mission</w:t>
      </w:r>
      <w:r w:rsidR="002D0F03">
        <w:t>s</w:t>
      </w:r>
      <w:r>
        <w:t xml:space="preserve">. </w:t>
      </w:r>
      <w:r w:rsidR="009461F6">
        <w:t>Third-party financing and guarantees</w:t>
      </w:r>
      <w:r w:rsidR="002D0F03">
        <w:t xml:space="preserve"> insulates critic</w:t>
      </w:r>
      <w:r w:rsidR="006124B7">
        <w:t>a</w:t>
      </w:r>
      <w:r w:rsidR="002D0F03">
        <w:t xml:space="preserve">l facility owners from technology </w:t>
      </w:r>
      <w:r w:rsidR="006124B7">
        <w:t xml:space="preserve">and operating </w:t>
      </w:r>
      <w:r w:rsidR="002D0F03">
        <w:t>risk associated with expensive assets</w:t>
      </w:r>
      <w:r w:rsidR="009461F6">
        <w:t>, more appropriately shifting those obligations to dedicated capital providers and operators of onsite generating assets</w:t>
      </w:r>
      <w:r w:rsidR="002D0F03">
        <w:t xml:space="preserve">. </w:t>
      </w:r>
      <w:r w:rsidR="001602F0" w:rsidRPr="00F87C46">
        <w:t xml:space="preserve">Such third-party financing </w:t>
      </w:r>
      <w:r>
        <w:t>is common and predominates</w:t>
      </w:r>
      <w:r w:rsidR="001602F0" w:rsidRPr="00F87C46">
        <w:t xml:space="preserve"> </w:t>
      </w:r>
      <w:r w:rsidR="009461F6">
        <w:t xml:space="preserve">non-residential </w:t>
      </w:r>
      <w:r w:rsidR="001602F0" w:rsidRPr="00F87C46">
        <w:t>solar and battery assets throughout the United State</w:t>
      </w:r>
      <w:r w:rsidR="00154305" w:rsidRPr="00F87C46">
        <w:t>s</w:t>
      </w:r>
      <w:r w:rsidR="001602F0" w:rsidRPr="00F87C46">
        <w:t xml:space="preserve"> and Texas, including markets served by municipal utilities and cooperatives. </w:t>
      </w:r>
    </w:p>
    <w:p w14:paraId="2891C8C5" w14:textId="77777777" w:rsidR="007D2BD5" w:rsidRPr="007D2BD5" w:rsidRDefault="007D2BD5" w:rsidP="007D2BD5">
      <w:pPr>
        <w:pStyle w:val="BodyText"/>
        <w:spacing w:line="362" w:lineRule="auto"/>
        <w:ind w:left="1080" w:right="138"/>
        <w:jc w:val="both"/>
        <w:rPr>
          <w:spacing w:val="-2"/>
        </w:rPr>
      </w:pPr>
    </w:p>
    <w:p w14:paraId="70759A6F" w14:textId="0C122AA4" w:rsidR="00B36938" w:rsidRPr="0005533F" w:rsidRDefault="007D2BD5" w:rsidP="004A2FA8">
      <w:pPr>
        <w:pStyle w:val="BodyText"/>
        <w:numPr>
          <w:ilvl w:val="0"/>
          <w:numId w:val="1"/>
        </w:numPr>
        <w:spacing w:line="362" w:lineRule="auto"/>
        <w:ind w:right="138"/>
        <w:jc w:val="both"/>
        <w:rPr>
          <w:spacing w:val="-2"/>
        </w:rPr>
      </w:pPr>
      <w:r>
        <w:t xml:space="preserve">During the Workshop, certain comments asserted that TBPPs would need to be owned by electric cooperatives and municipal utilities in non-opt-in-entity (“NOIE”) </w:t>
      </w:r>
      <w:r w:rsidR="00B36938">
        <w:t xml:space="preserve">or non-competitive power market </w:t>
      </w:r>
      <w:r>
        <w:t xml:space="preserve">jurisdictions. This assertion is inconsistent with </w:t>
      </w:r>
      <w:r w:rsidR="00B36938">
        <w:t xml:space="preserve">well-established </w:t>
      </w:r>
      <w:r>
        <w:t xml:space="preserve">regulatory </w:t>
      </w:r>
      <w:r w:rsidR="00B36938">
        <w:t xml:space="preserve">and tax </w:t>
      </w:r>
      <w:r>
        <w:t xml:space="preserve">precedent </w:t>
      </w:r>
      <w:r w:rsidR="00B36938">
        <w:t xml:space="preserve">as well as </w:t>
      </w:r>
      <w:r>
        <w:t xml:space="preserve">real-world ownership of onsite </w:t>
      </w:r>
      <w:r w:rsidR="00B36938">
        <w:t>self-</w:t>
      </w:r>
      <w:r>
        <w:t>generati</w:t>
      </w:r>
      <w:r w:rsidR="00B36938">
        <w:t>ng assets</w:t>
      </w:r>
      <w:r>
        <w:t xml:space="preserve"> through equipment leases</w:t>
      </w:r>
      <w:r w:rsidR="00B36938">
        <w:t xml:space="preserve"> – </w:t>
      </w:r>
      <w:r>
        <w:t>another form of third-party financing</w:t>
      </w:r>
      <w:r w:rsidR="00B36938">
        <w:t xml:space="preserve"> – that have proliferated throughout Texas</w:t>
      </w:r>
      <w:r>
        <w:t xml:space="preserve">.  </w:t>
      </w:r>
      <w:r w:rsidR="00B36938">
        <w:t xml:space="preserve">As such, communal entities have never been burdened by ownership or operation of onsite self-generation assets, such as </w:t>
      </w:r>
      <w:r w:rsidRPr="00F87C46">
        <w:t>TBPPs</w:t>
      </w:r>
      <w:r>
        <w:t>.</w:t>
      </w:r>
      <w:r w:rsidR="00B36938" w:rsidRPr="0005533F">
        <w:rPr>
          <w:spacing w:val="-2"/>
        </w:rPr>
        <w:t xml:space="preserve"> </w:t>
      </w:r>
    </w:p>
    <w:sectPr w:rsidR="00B36938" w:rsidRPr="0005533F" w:rsidSect="00C04E59">
      <w:headerReference w:type="default" r:id="rId11"/>
      <w:pgSz w:w="12240" w:h="15840"/>
      <w:pgMar w:top="1008"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54F64" w14:textId="77777777" w:rsidR="00E123DC" w:rsidRDefault="00E123DC" w:rsidP="00BA22AA">
      <w:r>
        <w:separator/>
      </w:r>
    </w:p>
  </w:endnote>
  <w:endnote w:type="continuationSeparator" w:id="0">
    <w:p w14:paraId="2420C2EB" w14:textId="77777777" w:rsidR="00E123DC" w:rsidRDefault="00E123DC" w:rsidP="00BA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A86B2" w14:textId="77777777" w:rsidR="00E123DC" w:rsidRDefault="00E123DC" w:rsidP="00BA22AA">
      <w:r>
        <w:separator/>
      </w:r>
    </w:p>
  </w:footnote>
  <w:footnote w:type="continuationSeparator" w:id="0">
    <w:p w14:paraId="7AB50885" w14:textId="77777777" w:rsidR="00E123DC" w:rsidRDefault="00E123DC" w:rsidP="00BA2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5AA80" w14:textId="219208A0" w:rsidR="00BA22AA" w:rsidRDefault="00BA22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240AB"/>
    <w:multiLevelType w:val="hybridMultilevel"/>
    <w:tmpl w:val="34C84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F5727B"/>
    <w:multiLevelType w:val="hybridMultilevel"/>
    <w:tmpl w:val="3F9802C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162163C"/>
    <w:multiLevelType w:val="hybridMultilevel"/>
    <w:tmpl w:val="215414BA"/>
    <w:lvl w:ilvl="0" w:tplc="55A4DF24">
      <w:start w:val="1"/>
      <w:numFmt w:val="upp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A772F0"/>
    <w:multiLevelType w:val="multilevel"/>
    <w:tmpl w:val="86DE9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C87934"/>
    <w:multiLevelType w:val="hybridMultilevel"/>
    <w:tmpl w:val="88000B42"/>
    <w:lvl w:ilvl="0" w:tplc="1446491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C862155"/>
    <w:multiLevelType w:val="multilevel"/>
    <w:tmpl w:val="D4FC5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8D64EE"/>
    <w:multiLevelType w:val="multilevel"/>
    <w:tmpl w:val="9FDEAB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79599B"/>
    <w:multiLevelType w:val="hybridMultilevel"/>
    <w:tmpl w:val="CC2C5DFE"/>
    <w:lvl w:ilvl="0" w:tplc="12FA743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4B05E1B"/>
    <w:multiLevelType w:val="multilevel"/>
    <w:tmpl w:val="1816616E"/>
    <w:lvl w:ilvl="0">
      <w:start w:val="2"/>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77FE2A1A"/>
    <w:multiLevelType w:val="hybridMultilevel"/>
    <w:tmpl w:val="AB9639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47748548">
    <w:abstractNumId w:val="4"/>
  </w:num>
  <w:num w:numId="2" w16cid:durableId="313609114">
    <w:abstractNumId w:val="2"/>
  </w:num>
  <w:num w:numId="3" w16cid:durableId="657148702">
    <w:abstractNumId w:val="7"/>
  </w:num>
  <w:num w:numId="4" w16cid:durableId="1308048895">
    <w:abstractNumId w:val="5"/>
  </w:num>
  <w:num w:numId="5" w16cid:durableId="2091341651">
    <w:abstractNumId w:val="3"/>
  </w:num>
  <w:num w:numId="6" w16cid:durableId="867333261">
    <w:abstractNumId w:val="1"/>
  </w:num>
  <w:num w:numId="7" w16cid:durableId="848985741">
    <w:abstractNumId w:val="6"/>
  </w:num>
  <w:num w:numId="8" w16cid:durableId="976420966">
    <w:abstractNumId w:val="0"/>
  </w:num>
  <w:num w:numId="9" w16cid:durableId="664674564">
    <w:abstractNumId w:val="8"/>
  </w:num>
  <w:num w:numId="10" w16cid:durableId="15850726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AA"/>
    <w:rsid w:val="00003FC4"/>
    <w:rsid w:val="0002402D"/>
    <w:rsid w:val="00046474"/>
    <w:rsid w:val="0005533F"/>
    <w:rsid w:val="000574DE"/>
    <w:rsid w:val="00072B0D"/>
    <w:rsid w:val="00080470"/>
    <w:rsid w:val="00082527"/>
    <w:rsid w:val="000830B7"/>
    <w:rsid w:val="00087E8D"/>
    <w:rsid w:val="000961CE"/>
    <w:rsid w:val="00096260"/>
    <w:rsid w:val="00097CD0"/>
    <w:rsid w:val="000A09F0"/>
    <w:rsid w:val="000A5FAD"/>
    <w:rsid w:val="000C3EFA"/>
    <w:rsid w:val="000E6498"/>
    <w:rsid w:val="000F216A"/>
    <w:rsid w:val="000F40CD"/>
    <w:rsid w:val="000F4780"/>
    <w:rsid w:val="00101DB2"/>
    <w:rsid w:val="001047D2"/>
    <w:rsid w:val="00115EB2"/>
    <w:rsid w:val="001172B7"/>
    <w:rsid w:val="00132E5C"/>
    <w:rsid w:val="001472FD"/>
    <w:rsid w:val="00154305"/>
    <w:rsid w:val="001602F0"/>
    <w:rsid w:val="00163612"/>
    <w:rsid w:val="001640E6"/>
    <w:rsid w:val="00195F64"/>
    <w:rsid w:val="001A5F68"/>
    <w:rsid w:val="001B4E1B"/>
    <w:rsid w:val="001B7B59"/>
    <w:rsid w:val="001C3554"/>
    <w:rsid w:val="001C4578"/>
    <w:rsid w:val="001C51D4"/>
    <w:rsid w:val="001C6021"/>
    <w:rsid w:val="001C736C"/>
    <w:rsid w:val="001D6415"/>
    <w:rsid w:val="001E17CB"/>
    <w:rsid w:val="001E2055"/>
    <w:rsid w:val="001E2972"/>
    <w:rsid w:val="0020365E"/>
    <w:rsid w:val="00213B3D"/>
    <w:rsid w:val="00213B42"/>
    <w:rsid w:val="00220422"/>
    <w:rsid w:val="0022449D"/>
    <w:rsid w:val="002252D0"/>
    <w:rsid w:val="00226D83"/>
    <w:rsid w:val="00241A69"/>
    <w:rsid w:val="002472E6"/>
    <w:rsid w:val="0024730E"/>
    <w:rsid w:val="00256C2C"/>
    <w:rsid w:val="00275F90"/>
    <w:rsid w:val="00282A3C"/>
    <w:rsid w:val="00285F95"/>
    <w:rsid w:val="002928F0"/>
    <w:rsid w:val="002953EB"/>
    <w:rsid w:val="002B1C75"/>
    <w:rsid w:val="002B361E"/>
    <w:rsid w:val="002B41B3"/>
    <w:rsid w:val="002C6990"/>
    <w:rsid w:val="002D0F03"/>
    <w:rsid w:val="002D7BD8"/>
    <w:rsid w:val="002E56BA"/>
    <w:rsid w:val="002F0904"/>
    <w:rsid w:val="00300D36"/>
    <w:rsid w:val="0031437B"/>
    <w:rsid w:val="00322445"/>
    <w:rsid w:val="00323281"/>
    <w:rsid w:val="00325233"/>
    <w:rsid w:val="00345DFE"/>
    <w:rsid w:val="003609B8"/>
    <w:rsid w:val="00373EE7"/>
    <w:rsid w:val="003846F7"/>
    <w:rsid w:val="003855EF"/>
    <w:rsid w:val="003A10F6"/>
    <w:rsid w:val="003A5D04"/>
    <w:rsid w:val="003B3FAC"/>
    <w:rsid w:val="003C4DEF"/>
    <w:rsid w:val="003D0FB1"/>
    <w:rsid w:val="003F0814"/>
    <w:rsid w:val="004177E3"/>
    <w:rsid w:val="004534DF"/>
    <w:rsid w:val="0046556A"/>
    <w:rsid w:val="004775D1"/>
    <w:rsid w:val="004A04BA"/>
    <w:rsid w:val="004A5FD1"/>
    <w:rsid w:val="004B6B20"/>
    <w:rsid w:val="004C0BDA"/>
    <w:rsid w:val="004C308B"/>
    <w:rsid w:val="004C488D"/>
    <w:rsid w:val="004C5545"/>
    <w:rsid w:val="004C5580"/>
    <w:rsid w:val="004C6139"/>
    <w:rsid w:val="004D2BB2"/>
    <w:rsid w:val="004F14E1"/>
    <w:rsid w:val="004F4113"/>
    <w:rsid w:val="00507B47"/>
    <w:rsid w:val="005271C7"/>
    <w:rsid w:val="005279B0"/>
    <w:rsid w:val="005407C8"/>
    <w:rsid w:val="00571782"/>
    <w:rsid w:val="00572CFC"/>
    <w:rsid w:val="00580A7E"/>
    <w:rsid w:val="00583956"/>
    <w:rsid w:val="005849DF"/>
    <w:rsid w:val="005A1618"/>
    <w:rsid w:val="005A3DBD"/>
    <w:rsid w:val="005A4949"/>
    <w:rsid w:val="005B1366"/>
    <w:rsid w:val="005B54F3"/>
    <w:rsid w:val="005C4F4E"/>
    <w:rsid w:val="005D0CF0"/>
    <w:rsid w:val="005D68A2"/>
    <w:rsid w:val="005D780F"/>
    <w:rsid w:val="005D7C89"/>
    <w:rsid w:val="005E1ACD"/>
    <w:rsid w:val="005E70C6"/>
    <w:rsid w:val="005F1FF6"/>
    <w:rsid w:val="00601B7A"/>
    <w:rsid w:val="0060402A"/>
    <w:rsid w:val="006124B7"/>
    <w:rsid w:val="006367DE"/>
    <w:rsid w:val="006639B2"/>
    <w:rsid w:val="006673AF"/>
    <w:rsid w:val="00674692"/>
    <w:rsid w:val="00695F2D"/>
    <w:rsid w:val="00697C8D"/>
    <w:rsid w:val="006B16D9"/>
    <w:rsid w:val="006E263E"/>
    <w:rsid w:val="006F28A0"/>
    <w:rsid w:val="006F31E7"/>
    <w:rsid w:val="006F74E9"/>
    <w:rsid w:val="00716426"/>
    <w:rsid w:val="0072717E"/>
    <w:rsid w:val="00732B06"/>
    <w:rsid w:val="00733185"/>
    <w:rsid w:val="00733511"/>
    <w:rsid w:val="0073561B"/>
    <w:rsid w:val="007613C4"/>
    <w:rsid w:val="0076752E"/>
    <w:rsid w:val="00772E98"/>
    <w:rsid w:val="00782107"/>
    <w:rsid w:val="0079390E"/>
    <w:rsid w:val="007943E8"/>
    <w:rsid w:val="00795956"/>
    <w:rsid w:val="007A2E3A"/>
    <w:rsid w:val="007C5B82"/>
    <w:rsid w:val="007D2BD5"/>
    <w:rsid w:val="007D4ABE"/>
    <w:rsid w:val="007E36ED"/>
    <w:rsid w:val="007E3FD6"/>
    <w:rsid w:val="007E483D"/>
    <w:rsid w:val="007E55B2"/>
    <w:rsid w:val="007F2302"/>
    <w:rsid w:val="008019D1"/>
    <w:rsid w:val="008227ED"/>
    <w:rsid w:val="008406F0"/>
    <w:rsid w:val="00841156"/>
    <w:rsid w:val="0086436A"/>
    <w:rsid w:val="0086588E"/>
    <w:rsid w:val="00874530"/>
    <w:rsid w:val="008808AE"/>
    <w:rsid w:val="00897721"/>
    <w:rsid w:val="008E0588"/>
    <w:rsid w:val="008F05F1"/>
    <w:rsid w:val="009012B5"/>
    <w:rsid w:val="00912046"/>
    <w:rsid w:val="00924F5E"/>
    <w:rsid w:val="00926DC6"/>
    <w:rsid w:val="00935888"/>
    <w:rsid w:val="0094548D"/>
    <w:rsid w:val="009461F6"/>
    <w:rsid w:val="00955593"/>
    <w:rsid w:val="00966821"/>
    <w:rsid w:val="00974CCA"/>
    <w:rsid w:val="0098746F"/>
    <w:rsid w:val="00992859"/>
    <w:rsid w:val="0099353E"/>
    <w:rsid w:val="009A3349"/>
    <w:rsid w:val="009A7FE0"/>
    <w:rsid w:val="009B43D3"/>
    <w:rsid w:val="009B4628"/>
    <w:rsid w:val="009C26D9"/>
    <w:rsid w:val="009C35B5"/>
    <w:rsid w:val="009D0B8A"/>
    <w:rsid w:val="009F4B7E"/>
    <w:rsid w:val="00A00C69"/>
    <w:rsid w:val="00A0526E"/>
    <w:rsid w:val="00A052EC"/>
    <w:rsid w:val="00A351F6"/>
    <w:rsid w:val="00A44FFF"/>
    <w:rsid w:val="00A561AF"/>
    <w:rsid w:val="00A64A54"/>
    <w:rsid w:val="00A826C7"/>
    <w:rsid w:val="00A93698"/>
    <w:rsid w:val="00A93A05"/>
    <w:rsid w:val="00AB09BC"/>
    <w:rsid w:val="00AB7CAB"/>
    <w:rsid w:val="00AC6B1B"/>
    <w:rsid w:val="00AD361F"/>
    <w:rsid w:val="00AD4C92"/>
    <w:rsid w:val="00AD6281"/>
    <w:rsid w:val="00B02313"/>
    <w:rsid w:val="00B04AD4"/>
    <w:rsid w:val="00B1422B"/>
    <w:rsid w:val="00B32882"/>
    <w:rsid w:val="00B36938"/>
    <w:rsid w:val="00B52D28"/>
    <w:rsid w:val="00B619D6"/>
    <w:rsid w:val="00B75459"/>
    <w:rsid w:val="00B76983"/>
    <w:rsid w:val="00B92C67"/>
    <w:rsid w:val="00B92C93"/>
    <w:rsid w:val="00BA0846"/>
    <w:rsid w:val="00BA22AA"/>
    <w:rsid w:val="00BC37FF"/>
    <w:rsid w:val="00BC582B"/>
    <w:rsid w:val="00BD556C"/>
    <w:rsid w:val="00BE5055"/>
    <w:rsid w:val="00BE7EA9"/>
    <w:rsid w:val="00BF2754"/>
    <w:rsid w:val="00C04E59"/>
    <w:rsid w:val="00C11931"/>
    <w:rsid w:val="00C146F0"/>
    <w:rsid w:val="00C173CE"/>
    <w:rsid w:val="00C23376"/>
    <w:rsid w:val="00C36225"/>
    <w:rsid w:val="00C46651"/>
    <w:rsid w:val="00C50D2C"/>
    <w:rsid w:val="00C57C62"/>
    <w:rsid w:val="00C603AF"/>
    <w:rsid w:val="00C8287C"/>
    <w:rsid w:val="00C82CBB"/>
    <w:rsid w:val="00C86B75"/>
    <w:rsid w:val="00C91D34"/>
    <w:rsid w:val="00C95B00"/>
    <w:rsid w:val="00C95FE1"/>
    <w:rsid w:val="00CA7729"/>
    <w:rsid w:val="00CB3A05"/>
    <w:rsid w:val="00CC09E7"/>
    <w:rsid w:val="00CC1650"/>
    <w:rsid w:val="00CC50E7"/>
    <w:rsid w:val="00CD2A08"/>
    <w:rsid w:val="00CD5276"/>
    <w:rsid w:val="00CF0711"/>
    <w:rsid w:val="00CF4809"/>
    <w:rsid w:val="00D31686"/>
    <w:rsid w:val="00D35DB5"/>
    <w:rsid w:val="00D41821"/>
    <w:rsid w:val="00D4239A"/>
    <w:rsid w:val="00D426BC"/>
    <w:rsid w:val="00D65E28"/>
    <w:rsid w:val="00D67921"/>
    <w:rsid w:val="00D844EC"/>
    <w:rsid w:val="00D9048C"/>
    <w:rsid w:val="00D90985"/>
    <w:rsid w:val="00D92A3E"/>
    <w:rsid w:val="00D955B8"/>
    <w:rsid w:val="00D97E7A"/>
    <w:rsid w:val="00DA1294"/>
    <w:rsid w:val="00DA14CD"/>
    <w:rsid w:val="00DB0575"/>
    <w:rsid w:val="00DE0855"/>
    <w:rsid w:val="00DF3BD5"/>
    <w:rsid w:val="00E00C77"/>
    <w:rsid w:val="00E0452B"/>
    <w:rsid w:val="00E121EA"/>
    <w:rsid w:val="00E123DC"/>
    <w:rsid w:val="00E16574"/>
    <w:rsid w:val="00E16F7F"/>
    <w:rsid w:val="00E325DD"/>
    <w:rsid w:val="00E35E5F"/>
    <w:rsid w:val="00E36911"/>
    <w:rsid w:val="00E40196"/>
    <w:rsid w:val="00E434D4"/>
    <w:rsid w:val="00E4697A"/>
    <w:rsid w:val="00E61D96"/>
    <w:rsid w:val="00E6224C"/>
    <w:rsid w:val="00E76A5F"/>
    <w:rsid w:val="00E8528F"/>
    <w:rsid w:val="00E9110A"/>
    <w:rsid w:val="00EA2157"/>
    <w:rsid w:val="00EA40DC"/>
    <w:rsid w:val="00EA6998"/>
    <w:rsid w:val="00EB5612"/>
    <w:rsid w:val="00EC5144"/>
    <w:rsid w:val="00EC7508"/>
    <w:rsid w:val="00ED444F"/>
    <w:rsid w:val="00EE28EB"/>
    <w:rsid w:val="00EF7405"/>
    <w:rsid w:val="00EF7D24"/>
    <w:rsid w:val="00F06E20"/>
    <w:rsid w:val="00F16A74"/>
    <w:rsid w:val="00F355C0"/>
    <w:rsid w:val="00F40B8E"/>
    <w:rsid w:val="00F4305A"/>
    <w:rsid w:val="00F554D3"/>
    <w:rsid w:val="00F62EC4"/>
    <w:rsid w:val="00F678C2"/>
    <w:rsid w:val="00F733AC"/>
    <w:rsid w:val="00F8065C"/>
    <w:rsid w:val="00F87C46"/>
    <w:rsid w:val="00F94428"/>
    <w:rsid w:val="00FA3E7B"/>
    <w:rsid w:val="00FA745B"/>
    <w:rsid w:val="00FB140B"/>
    <w:rsid w:val="00FD23E9"/>
    <w:rsid w:val="00FD2489"/>
    <w:rsid w:val="00FE32F0"/>
    <w:rsid w:val="00FE7AC8"/>
    <w:rsid w:val="00FF2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8B0E07"/>
  <w15:chartTrackingRefBased/>
  <w15:docId w15:val="{2C7FB01F-FC9C-4BC1-BD2B-C24EE4238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2AA"/>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A22AA"/>
    <w:rPr>
      <w:sz w:val="24"/>
      <w:szCs w:val="24"/>
    </w:rPr>
  </w:style>
  <w:style w:type="character" w:customStyle="1" w:styleId="BodyTextChar">
    <w:name w:val="Body Text Char"/>
    <w:basedOn w:val="DefaultParagraphFont"/>
    <w:link w:val="BodyText"/>
    <w:uiPriority w:val="1"/>
    <w:rsid w:val="00BA22AA"/>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BA22AA"/>
    <w:pPr>
      <w:tabs>
        <w:tab w:val="center" w:pos="4680"/>
        <w:tab w:val="right" w:pos="9360"/>
      </w:tabs>
    </w:pPr>
  </w:style>
  <w:style w:type="character" w:customStyle="1" w:styleId="HeaderChar">
    <w:name w:val="Header Char"/>
    <w:basedOn w:val="DefaultParagraphFont"/>
    <w:link w:val="Header"/>
    <w:uiPriority w:val="99"/>
    <w:rsid w:val="00BA22AA"/>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BA22AA"/>
    <w:pPr>
      <w:tabs>
        <w:tab w:val="center" w:pos="4680"/>
        <w:tab w:val="right" w:pos="9360"/>
      </w:tabs>
    </w:pPr>
  </w:style>
  <w:style w:type="character" w:customStyle="1" w:styleId="FooterChar">
    <w:name w:val="Footer Char"/>
    <w:basedOn w:val="DefaultParagraphFont"/>
    <w:link w:val="Footer"/>
    <w:uiPriority w:val="99"/>
    <w:rsid w:val="00BA22AA"/>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9A3349"/>
    <w:rPr>
      <w:color w:val="0563C1" w:themeColor="hyperlink"/>
      <w:u w:val="single"/>
    </w:rPr>
  </w:style>
  <w:style w:type="character" w:styleId="UnresolvedMention">
    <w:name w:val="Unresolved Mention"/>
    <w:basedOn w:val="DefaultParagraphFont"/>
    <w:uiPriority w:val="99"/>
    <w:semiHidden/>
    <w:unhideWhenUsed/>
    <w:rsid w:val="009A3349"/>
    <w:rPr>
      <w:color w:val="605E5C"/>
      <w:shd w:val="clear" w:color="auto" w:fill="E1DFDD"/>
    </w:rPr>
  </w:style>
  <w:style w:type="paragraph" w:styleId="Revision">
    <w:name w:val="Revision"/>
    <w:hidden/>
    <w:uiPriority w:val="99"/>
    <w:semiHidden/>
    <w:rsid w:val="00E325DD"/>
    <w:pPr>
      <w:spacing w:after="0" w:line="240" w:lineRule="auto"/>
    </w:pPr>
    <w:rPr>
      <w:rFonts w:ascii="Times New Roman" w:eastAsia="Times New Roman" w:hAnsi="Times New Roman" w:cs="Times New Roman"/>
      <w:kern w:val="0"/>
      <w14:ligatures w14:val="none"/>
    </w:rPr>
  </w:style>
  <w:style w:type="table" w:styleId="TableGrid">
    <w:name w:val="Table Grid"/>
    <w:basedOn w:val="TableNormal"/>
    <w:uiPriority w:val="59"/>
    <w:rsid w:val="00732B06"/>
    <w:pPr>
      <w:spacing w:after="0" w:line="240" w:lineRule="auto"/>
    </w:pPr>
    <w:rPr>
      <w:rFonts w:eastAsiaTheme="minorEastAsia"/>
      <w:kern w:val="0"/>
      <w:sz w:val="24"/>
      <w:szCs w:val="24"/>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04E59"/>
    <w:rPr>
      <w:sz w:val="20"/>
      <w:szCs w:val="20"/>
    </w:rPr>
  </w:style>
  <w:style w:type="character" w:customStyle="1" w:styleId="FootnoteTextChar">
    <w:name w:val="Footnote Text Char"/>
    <w:basedOn w:val="DefaultParagraphFont"/>
    <w:link w:val="FootnoteText"/>
    <w:uiPriority w:val="99"/>
    <w:semiHidden/>
    <w:rsid w:val="00C04E59"/>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C04E59"/>
    <w:rPr>
      <w:vertAlign w:val="superscript"/>
    </w:rPr>
  </w:style>
  <w:style w:type="character" w:styleId="CommentReference">
    <w:name w:val="annotation reference"/>
    <w:basedOn w:val="DefaultParagraphFont"/>
    <w:uiPriority w:val="99"/>
    <w:semiHidden/>
    <w:unhideWhenUsed/>
    <w:rsid w:val="001172B7"/>
    <w:rPr>
      <w:sz w:val="16"/>
      <w:szCs w:val="16"/>
    </w:rPr>
  </w:style>
  <w:style w:type="paragraph" w:styleId="CommentText">
    <w:name w:val="annotation text"/>
    <w:basedOn w:val="Normal"/>
    <w:link w:val="CommentTextChar"/>
    <w:uiPriority w:val="99"/>
    <w:unhideWhenUsed/>
    <w:rsid w:val="001172B7"/>
    <w:rPr>
      <w:sz w:val="20"/>
      <w:szCs w:val="20"/>
    </w:rPr>
  </w:style>
  <w:style w:type="character" w:customStyle="1" w:styleId="CommentTextChar">
    <w:name w:val="Comment Text Char"/>
    <w:basedOn w:val="DefaultParagraphFont"/>
    <w:link w:val="CommentText"/>
    <w:uiPriority w:val="99"/>
    <w:rsid w:val="001172B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172B7"/>
    <w:rPr>
      <w:b/>
      <w:bCs/>
    </w:rPr>
  </w:style>
  <w:style w:type="character" w:customStyle="1" w:styleId="CommentSubjectChar">
    <w:name w:val="Comment Subject Char"/>
    <w:basedOn w:val="CommentTextChar"/>
    <w:link w:val="CommentSubject"/>
    <w:uiPriority w:val="99"/>
    <w:semiHidden/>
    <w:rsid w:val="001172B7"/>
    <w:rPr>
      <w:rFonts w:ascii="Times New Roman" w:eastAsia="Times New Roman" w:hAnsi="Times New Roman" w:cs="Times New Roman"/>
      <w:b/>
      <w:bCs/>
      <w:kern w:val="0"/>
      <w:sz w:val="20"/>
      <w:szCs w:val="20"/>
      <w14:ligatures w14:val="none"/>
    </w:rPr>
  </w:style>
  <w:style w:type="paragraph" w:styleId="ListParagraph">
    <w:name w:val="List Paragraph"/>
    <w:basedOn w:val="Normal"/>
    <w:uiPriority w:val="34"/>
    <w:qFormat/>
    <w:rsid w:val="0086588E"/>
    <w:pPr>
      <w:ind w:left="720"/>
      <w:contextualSpacing/>
    </w:pPr>
  </w:style>
  <w:style w:type="character" w:customStyle="1" w:styleId="gmaildefault">
    <w:name w:val="gmail_default"/>
    <w:basedOn w:val="DefaultParagraphFont"/>
    <w:rsid w:val="007C5B82"/>
  </w:style>
  <w:style w:type="character" w:customStyle="1" w:styleId="apple-converted-space">
    <w:name w:val="apple-converted-space"/>
    <w:basedOn w:val="DefaultParagraphFont"/>
    <w:rsid w:val="005A4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72328">
      <w:bodyDiv w:val="1"/>
      <w:marLeft w:val="0"/>
      <w:marRight w:val="0"/>
      <w:marTop w:val="0"/>
      <w:marBottom w:val="0"/>
      <w:divBdr>
        <w:top w:val="none" w:sz="0" w:space="0" w:color="auto"/>
        <w:left w:val="none" w:sz="0" w:space="0" w:color="auto"/>
        <w:bottom w:val="none" w:sz="0" w:space="0" w:color="auto"/>
        <w:right w:val="none" w:sz="0" w:space="0" w:color="auto"/>
      </w:divBdr>
      <w:divsChild>
        <w:div w:id="116983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7496750">
              <w:marLeft w:val="0"/>
              <w:marRight w:val="0"/>
              <w:marTop w:val="0"/>
              <w:marBottom w:val="0"/>
              <w:divBdr>
                <w:top w:val="none" w:sz="0" w:space="0" w:color="auto"/>
                <w:left w:val="none" w:sz="0" w:space="0" w:color="auto"/>
                <w:bottom w:val="none" w:sz="0" w:space="0" w:color="auto"/>
                <w:right w:val="none" w:sz="0" w:space="0" w:color="auto"/>
              </w:divBdr>
              <w:divsChild>
                <w:div w:id="1778719957">
                  <w:marLeft w:val="0"/>
                  <w:marRight w:val="0"/>
                  <w:marTop w:val="0"/>
                  <w:marBottom w:val="0"/>
                  <w:divBdr>
                    <w:top w:val="none" w:sz="0" w:space="0" w:color="auto"/>
                    <w:left w:val="none" w:sz="0" w:space="0" w:color="auto"/>
                    <w:bottom w:val="none" w:sz="0" w:space="0" w:color="auto"/>
                    <w:right w:val="none" w:sz="0" w:space="0" w:color="auto"/>
                  </w:divBdr>
                  <w:divsChild>
                    <w:div w:id="331615502">
                      <w:marLeft w:val="0"/>
                      <w:marRight w:val="0"/>
                      <w:marTop w:val="0"/>
                      <w:marBottom w:val="0"/>
                      <w:divBdr>
                        <w:top w:val="none" w:sz="0" w:space="0" w:color="auto"/>
                        <w:left w:val="none" w:sz="0" w:space="0" w:color="auto"/>
                        <w:bottom w:val="none" w:sz="0" w:space="0" w:color="auto"/>
                        <w:right w:val="none" w:sz="0" w:space="0" w:color="auto"/>
                      </w:divBdr>
                      <w:divsChild>
                        <w:div w:id="549223093">
                          <w:marLeft w:val="0"/>
                          <w:marRight w:val="0"/>
                          <w:marTop w:val="0"/>
                          <w:marBottom w:val="0"/>
                          <w:divBdr>
                            <w:top w:val="none" w:sz="0" w:space="0" w:color="auto"/>
                            <w:left w:val="none" w:sz="0" w:space="0" w:color="auto"/>
                            <w:bottom w:val="none" w:sz="0" w:space="0" w:color="auto"/>
                            <w:right w:val="none" w:sz="0" w:space="0" w:color="auto"/>
                          </w:divBdr>
                          <w:divsChild>
                            <w:div w:id="1168323115">
                              <w:marLeft w:val="0"/>
                              <w:marRight w:val="0"/>
                              <w:marTop w:val="0"/>
                              <w:marBottom w:val="0"/>
                              <w:divBdr>
                                <w:top w:val="none" w:sz="0" w:space="0" w:color="auto"/>
                                <w:left w:val="none" w:sz="0" w:space="0" w:color="auto"/>
                                <w:bottom w:val="none" w:sz="0" w:space="0" w:color="auto"/>
                                <w:right w:val="none" w:sz="0" w:space="0" w:color="auto"/>
                              </w:divBdr>
                              <w:divsChild>
                                <w:div w:id="731537550">
                                  <w:marLeft w:val="0"/>
                                  <w:marRight w:val="0"/>
                                  <w:marTop w:val="0"/>
                                  <w:marBottom w:val="0"/>
                                  <w:divBdr>
                                    <w:top w:val="none" w:sz="0" w:space="0" w:color="auto"/>
                                    <w:left w:val="none" w:sz="0" w:space="0" w:color="auto"/>
                                    <w:bottom w:val="none" w:sz="0" w:space="0" w:color="auto"/>
                                    <w:right w:val="none" w:sz="0" w:space="0" w:color="auto"/>
                                  </w:divBdr>
                                  <w:divsChild>
                                    <w:div w:id="88036453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1662621">
                                          <w:marLeft w:val="0"/>
                                          <w:marRight w:val="0"/>
                                          <w:marTop w:val="0"/>
                                          <w:marBottom w:val="0"/>
                                          <w:divBdr>
                                            <w:top w:val="none" w:sz="0" w:space="0" w:color="auto"/>
                                            <w:left w:val="none" w:sz="0" w:space="0" w:color="auto"/>
                                            <w:bottom w:val="none" w:sz="0" w:space="0" w:color="auto"/>
                                            <w:right w:val="none" w:sz="0" w:space="0" w:color="auto"/>
                                          </w:divBdr>
                                          <w:divsChild>
                                            <w:div w:id="1180780235">
                                              <w:marLeft w:val="0"/>
                                              <w:marRight w:val="0"/>
                                              <w:marTop w:val="0"/>
                                              <w:marBottom w:val="0"/>
                                              <w:divBdr>
                                                <w:top w:val="none" w:sz="0" w:space="0" w:color="auto"/>
                                                <w:left w:val="none" w:sz="0" w:space="0" w:color="auto"/>
                                                <w:bottom w:val="none" w:sz="0" w:space="0" w:color="auto"/>
                                                <w:right w:val="none" w:sz="0" w:space="0" w:color="auto"/>
                                              </w:divBdr>
                                              <w:divsChild>
                                                <w:div w:id="215361841">
                                                  <w:marLeft w:val="0"/>
                                                  <w:marRight w:val="0"/>
                                                  <w:marTop w:val="0"/>
                                                  <w:marBottom w:val="0"/>
                                                  <w:divBdr>
                                                    <w:top w:val="none" w:sz="0" w:space="0" w:color="auto"/>
                                                    <w:left w:val="none" w:sz="0" w:space="0" w:color="auto"/>
                                                    <w:bottom w:val="none" w:sz="0" w:space="0" w:color="auto"/>
                                                    <w:right w:val="none" w:sz="0" w:space="0" w:color="auto"/>
                                                  </w:divBdr>
                                                  <w:divsChild>
                                                    <w:div w:id="44126203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00121103">
                                                          <w:marLeft w:val="0"/>
                                                          <w:marRight w:val="0"/>
                                                          <w:marTop w:val="0"/>
                                                          <w:marBottom w:val="0"/>
                                                          <w:divBdr>
                                                            <w:top w:val="none" w:sz="0" w:space="0" w:color="auto"/>
                                                            <w:left w:val="none" w:sz="0" w:space="0" w:color="auto"/>
                                                            <w:bottom w:val="none" w:sz="0" w:space="0" w:color="auto"/>
                                                            <w:right w:val="none" w:sz="0" w:space="0" w:color="auto"/>
                                                          </w:divBdr>
                                                          <w:divsChild>
                                                            <w:div w:id="169449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5573161">
      <w:bodyDiv w:val="1"/>
      <w:marLeft w:val="0"/>
      <w:marRight w:val="0"/>
      <w:marTop w:val="0"/>
      <w:marBottom w:val="0"/>
      <w:divBdr>
        <w:top w:val="none" w:sz="0" w:space="0" w:color="auto"/>
        <w:left w:val="none" w:sz="0" w:space="0" w:color="auto"/>
        <w:bottom w:val="none" w:sz="0" w:space="0" w:color="auto"/>
        <w:right w:val="none" w:sz="0" w:space="0" w:color="auto"/>
      </w:divBdr>
      <w:divsChild>
        <w:div w:id="12137298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2905458">
              <w:marLeft w:val="0"/>
              <w:marRight w:val="0"/>
              <w:marTop w:val="0"/>
              <w:marBottom w:val="0"/>
              <w:divBdr>
                <w:top w:val="none" w:sz="0" w:space="0" w:color="auto"/>
                <w:left w:val="none" w:sz="0" w:space="0" w:color="auto"/>
                <w:bottom w:val="none" w:sz="0" w:space="0" w:color="auto"/>
                <w:right w:val="none" w:sz="0" w:space="0" w:color="auto"/>
              </w:divBdr>
              <w:divsChild>
                <w:div w:id="1719158224">
                  <w:marLeft w:val="0"/>
                  <w:marRight w:val="0"/>
                  <w:marTop w:val="0"/>
                  <w:marBottom w:val="0"/>
                  <w:divBdr>
                    <w:top w:val="none" w:sz="0" w:space="0" w:color="auto"/>
                    <w:left w:val="none" w:sz="0" w:space="0" w:color="auto"/>
                    <w:bottom w:val="none" w:sz="0" w:space="0" w:color="auto"/>
                    <w:right w:val="none" w:sz="0" w:space="0" w:color="auto"/>
                  </w:divBdr>
                  <w:divsChild>
                    <w:div w:id="1690792400">
                      <w:marLeft w:val="0"/>
                      <w:marRight w:val="0"/>
                      <w:marTop w:val="0"/>
                      <w:marBottom w:val="0"/>
                      <w:divBdr>
                        <w:top w:val="none" w:sz="0" w:space="0" w:color="auto"/>
                        <w:left w:val="none" w:sz="0" w:space="0" w:color="auto"/>
                        <w:bottom w:val="none" w:sz="0" w:space="0" w:color="auto"/>
                        <w:right w:val="none" w:sz="0" w:space="0" w:color="auto"/>
                      </w:divBdr>
                      <w:divsChild>
                        <w:div w:id="992366894">
                          <w:marLeft w:val="0"/>
                          <w:marRight w:val="0"/>
                          <w:marTop w:val="0"/>
                          <w:marBottom w:val="0"/>
                          <w:divBdr>
                            <w:top w:val="none" w:sz="0" w:space="0" w:color="auto"/>
                            <w:left w:val="none" w:sz="0" w:space="0" w:color="auto"/>
                            <w:bottom w:val="none" w:sz="0" w:space="0" w:color="auto"/>
                            <w:right w:val="none" w:sz="0" w:space="0" w:color="auto"/>
                          </w:divBdr>
                          <w:divsChild>
                            <w:div w:id="1295285522">
                              <w:marLeft w:val="0"/>
                              <w:marRight w:val="0"/>
                              <w:marTop w:val="0"/>
                              <w:marBottom w:val="0"/>
                              <w:divBdr>
                                <w:top w:val="none" w:sz="0" w:space="0" w:color="auto"/>
                                <w:left w:val="none" w:sz="0" w:space="0" w:color="auto"/>
                                <w:bottom w:val="none" w:sz="0" w:space="0" w:color="auto"/>
                                <w:right w:val="none" w:sz="0" w:space="0" w:color="auto"/>
                              </w:divBdr>
                              <w:divsChild>
                                <w:div w:id="644316664">
                                  <w:marLeft w:val="0"/>
                                  <w:marRight w:val="0"/>
                                  <w:marTop w:val="0"/>
                                  <w:marBottom w:val="0"/>
                                  <w:divBdr>
                                    <w:top w:val="none" w:sz="0" w:space="0" w:color="auto"/>
                                    <w:left w:val="none" w:sz="0" w:space="0" w:color="auto"/>
                                    <w:bottom w:val="none" w:sz="0" w:space="0" w:color="auto"/>
                                    <w:right w:val="none" w:sz="0" w:space="0" w:color="auto"/>
                                  </w:divBdr>
                                  <w:divsChild>
                                    <w:div w:id="147371030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272438">
                                          <w:marLeft w:val="0"/>
                                          <w:marRight w:val="0"/>
                                          <w:marTop w:val="0"/>
                                          <w:marBottom w:val="0"/>
                                          <w:divBdr>
                                            <w:top w:val="none" w:sz="0" w:space="0" w:color="auto"/>
                                            <w:left w:val="none" w:sz="0" w:space="0" w:color="auto"/>
                                            <w:bottom w:val="none" w:sz="0" w:space="0" w:color="auto"/>
                                            <w:right w:val="none" w:sz="0" w:space="0" w:color="auto"/>
                                          </w:divBdr>
                                          <w:divsChild>
                                            <w:div w:id="1615281743">
                                              <w:marLeft w:val="0"/>
                                              <w:marRight w:val="0"/>
                                              <w:marTop w:val="0"/>
                                              <w:marBottom w:val="0"/>
                                              <w:divBdr>
                                                <w:top w:val="none" w:sz="0" w:space="0" w:color="auto"/>
                                                <w:left w:val="none" w:sz="0" w:space="0" w:color="auto"/>
                                                <w:bottom w:val="none" w:sz="0" w:space="0" w:color="auto"/>
                                                <w:right w:val="none" w:sz="0" w:space="0" w:color="auto"/>
                                              </w:divBdr>
                                              <w:divsChild>
                                                <w:div w:id="137771438">
                                                  <w:marLeft w:val="0"/>
                                                  <w:marRight w:val="0"/>
                                                  <w:marTop w:val="0"/>
                                                  <w:marBottom w:val="0"/>
                                                  <w:divBdr>
                                                    <w:top w:val="none" w:sz="0" w:space="0" w:color="auto"/>
                                                    <w:left w:val="none" w:sz="0" w:space="0" w:color="auto"/>
                                                    <w:bottom w:val="none" w:sz="0" w:space="0" w:color="auto"/>
                                                    <w:right w:val="none" w:sz="0" w:space="0" w:color="auto"/>
                                                  </w:divBdr>
                                                  <w:divsChild>
                                                    <w:div w:id="63395164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34007933">
                                                          <w:marLeft w:val="0"/>
                                                          <w:marRight w:val="0"/>
                                                          <w:marTop w:val="0"/>
                                                          <w:marBottom w:val="0"/>
                                                          <w:divBdr>
                                                            <w:top w:val="none" w:sz="0" w:space="0" w:color="auto"/>
                                                            <w:left w:val="none" w:sz="0" w:space="0" w:color="auto"/>
                                                            <w:bottom w:val="none" w:sz="0" w:space="0" w:color="auto"/>
                                                            <w:right w:val="none" w:sz="0" w:space="0" w:color="auto"/>
                                                          </w:divBdr>
                                                          <w:divsChild>
                                                            <w:div w:id="83476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9606069">
      <w:bodyDiv w:val="1"/>
      <w:marLeft w:val="0"/>
      <w:marRight w:val="0"/>
      <w:marTop w:val="0"/>
      <w:marBottom w:val="0"/>
      <w:divBdr>
        <w:top w:val="none" w:sz="0" w:space="0" w:color="auto"/>
        <w:left w:val="none" w:sz="0" w:space="0" w:color="auto"/>
        <w:bottom w:val="none" w:sz="0" w:space="0" w:color="auto"/>
        <w:right w:val="none" w:sz="0" w:space="0" w:color="auto"/>
      </w:divBdr>
      <w:divsChild>
        <w:div w:id="15272820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111532">
              <w:marLeft w:val="0"/>
              <w:marRight w:val="0"/>
              <w:marTop w:val="0"/>
              <w:marBottom w:val="0"/>
              <w:divBdr>
                <w:top w:val="none" w:sz="0" w:space="0" w:color="auto"/>
                <w:left w:val="none" w:sz="0" w:space="0" w:color="auto"/>
                <w:bottom w:val="none" w:sz="0" w:space="0" w:color="auto"/>
                <w:right w:val="none" w:sz="0" w:space="0" w:color="auto"/>
              </w:divBdr>
              <w:divsChild>
                <w:div w:id="1590770771">
                  <w:marLeft w:val="0"/>
                  <w:marRight w:val="0"/>
                  <w:marTop w:val="0"/>
                  <w:marBottom w:val="0"/>
                  <w:divBdr>
                    <w:top w:val="none" w:sz="0" w:space="0" w:color="auto"/>
                    <w:left w:val="none" w:sz="0" w:space="0" w:color="auto"/>
                    <w:bottom w:val="none" w:sz="0" w:space="0" w:color="auto"/>
                    <w:right w:val="none" w:sz="0" w:space="0" w:color="auto"/>
                  </w:divBdr>
                  <w:divsChild>
                    <w:div w:id="534580794">
                      <w:marLeft w:val="0"/>
                      <w:marRight w:val="0"/>
                      <w:marTop w:val="0"/>
                      <w:marBottom w:val="0"/>
                      <w:divBdr>
                        <w:top w:val="none" w:sz="0" w:space="0" w:color="auto"/>
                        <w:left w:val="none" w:sz="0" w:space="0" w:color="auto"/>
                        <w:bottom w:val="none" w:sz="0" w:space="0" w:color="auto"/>
                        <w:right w:val="none" w:sz="0" w:space="0" w:color="auto"/>
                      </w:divBdr>
                      <w:divsChild>
                        <w:div w:id="1105462723">
                          <w:marLeft w:val="0"/>
                          <w:marRight w:val="0"/>
                          <w:marTop w:val="0"/>
                          <w:marBottom w:val="0"/>
                          <w:divBdr>
                            <w:top w:val="none" w:sz="0" w:space="0" w:color="auto"/>
                            <w:left w:val="none" w:sz="0" w:space="0" w:color="auto"/>
                            <w:bottom w:val="none" w:sz="0" w:space="0" w:color="auto"/>
                            <w:right w:val="none" w:sz="0" w:space="0" w:color="auto"/>
                          </w:divBdr>
                          <w:divsChild>
                            <w:div w:id="2361770">
                              <w:marLeft w:val="0"/>
                              <w:marRight w:val="0"/>
                              <w:marTop w:val="0"/>
                              <w:marBottom w:val="0"/>
                              <w:divBdr>
                                <w:top w:val="none" w:sz="0" w:space="0" w:color="auto"/>
                                <w:left w:val="none" w:sz="0" w:space="0" w:color="auto"/>
                                <w:bottom w:val="none" w:sz="0" w:space="0" w:color="auto"/>
                                <w:right w:val="none" w:sz="0" w:space="0" w:color="auto"/>
                              </w:divBdr>
                              <w:divsChild>
                                <w:div w:id="454256013">
                                  <w:marLeft w:val="0"/>
                                  <w:marRight w:val="0"/>
                                  <w:marTop w:val="0"/>
                                  <w:marBottom w:val="0"/>
                                  <w:divBdr>
                                    <w:top w:val="none" w:sz="0" w:space="0" w:color="auto"/>
                                    <w:left w:val="none" w:sz="0" w:space="0" w:color="auto"/>
                                    <w:bottom w:val="none" w:sz="0" w:space="0" w:color="auto"/>
                                    <w:right w:val="none" w:sz="0" w:space="0" w:color="auto"/>
                                  </w:divBdr>
                                  <w:divsChild>
                                    <w:div w:id="208969546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9991957">
                                          <w:marLeft w:val="0"/>
                                          <w:marRight w:val="0"/>
                                          <w:marTop w:val="0"/>
                                          <w:marBottom w:val="0"/>
                                          <w:divBdr>
                                            <w:top w:val="none" w:sz="0" w:space="0" w:color="auto"/>
                                            <w:left w:val="none" w:sz="0" w:space="0" w:color="auto"/>
                                            <w:bottom w:val="none" w:sz="0" w:space="0" w:color="auto"/>
                                            <w:right w:val="none" w:sz="0" w:space="0" w:color="auto"/>
                                          </w:divBdr>
                                          <w:divsChild>
                                            <w:div w:id="1622491210">
                                              <w:marLeft w:val="0"/>
                                              <w:marRight w:val="0"/>
                                              <w:marTop w:val="0"/>
                                              <w:marBottom w:val="0"/>
                                              <w:divBdr>
                                                <w:top w:val="none" w:sz="0" w:space="0" w:color="auto"/>
                                                <w:left w:val="none" w:sz="0" w:space="0" w:color="auto"/>
                                                <w:bottom w:val="none" w:sz="0" w:space="0" w:color="auto"/>
                                                <w:right w:val="none" w:sz="0" w:space="0" w:color="auto"/>
                                              </w:divBdr>
                                              <w:divsChild>
                                                <w:div w:id="1154026709">
                                                  <w:marLeft w:val="0"/>
                                                  <w:marRight w:val="0"/>
                                                  <w:marTop w:val="0"/>
                                                  <w:marBottom w:val="0"/>
                                                  <w:divBdr>
                                                    <w:top w:val="none" w:sz="0" w:space="0" w:color="auto"/>
                                                    <w:left w:val="none" w:sz="0" w:space="0" w:color="auto"/>
                                                    <w:bottom w:val="none" w:sz="0" w:space="0" w:color="auto"/>
                                                    <w:right w:val="none" w:sz="0" w:space="0" w:color="auto"/>
                                                  </w:divBdr>
                                                  <w:divsChild>
                                                    <w:div w:id="104251128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08693163">
                                                          <w:marLeft w:val="0"/>
                                                          <w:marRight w:val="0"/>
                                                          <w:marTop w:val="0"/>
                                                          <w:marBottom w:val="0"/>
                                                          <w:divBdr>
                                                            <w:top w:val="none" w:sz="0" w:space="0" w:color="auto"/>
                                                            <w:left w:val="none" w:sz="0" w:space="0" w:color="auto"/>
                                                            <w:bottom w:val="none" w:sz="0" w:space="0" w:color="auto"/>
                                                            <w:right w:val="none" w:sz="0" w:space="0" w:color="auto"/>
                                                          </w:divBdr>
                                                          <w:divsChild>
                                                            <w:div w:id="129633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5035706">
      <w:bodyDiv w:val="1"/>
      <w:marLeft w:val="0"/>
      <w:marRight w:val="0"/>
      <w:marTop w:val="0"/>
      <w:marBottom w:val="0"/>
      <w:divBdr>
        <w:top w:val="none" w:sz="0" w:space="0" w:color="auto"/>
        <w:left w:val="none" w:sz="0" w:space="0" w:color="auto"/>
        <w:bottom w:val="none" w:sz="0" w:space="0" w:color="auto"/>
        <w:right w:val="none" w:sz="0" w:space="0" w:color="auto"/>
      </w:divBdr>
      <w:divsChild>
        <w:div w:id="7444505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1329765">
              <w:marLeft w:val="0"/>
              <w:marRight w:val="0"/>
              <w:marTop w:val="0"/>
              <w:marBottom w:val="0"/>
              <w:divBdr>
                <w:top w:val="none" w:sz="0" w:space="0" w:color="auto"/>
                <w:left w:val="none" w:sz="0" w:space="0" w:color="auto"/>
                <w:bottom w:val="none" w:sz="0" w:space="0" w:color="auto"/>
                <w:right w:val="none" w:sz="0" w:space="0" w:color="auto"/>
              </w:divBdr>
              <w:divsChild>
                <w:div w:id="1112751960">
                  <w:marLeft w:val="0"/>
                  <w:marRight w:val="0"/>
                  <w:marTop w:val="0"/>
                  <w:marBottom w:val="0"/>
                  <w:divBdr>
                    <w:top w:val="none" w:sz="0" w:space="0" w:color="auto"/>
                    <w:left w:val="none" w:sz="0" w:space="0" w:color="auto"/>
                    <w:bottom w:val="none" w:sz="0" w:space="0" w:color="auto"/>
                    <w:right w:val="none" w:sz="0" w:space="0" w:color="auto"/>
                  </w:divBdr>
                  <w:divsChild>
                    <w:div w:id="521558257">
                      <w:marLeft w:val="0"/>
                      <w:marRight w:val="0"/>
                      <w:marTop w:val="0"/>
                      <w:marBottom w:val="0"/>
                      <w:divBdr>
                        <w:top w:val="none" w:sz="0" w:space="0" w:color="auto"/>
                        <w:left w:val="none" w:sz="0" w:space="0" w:color="auto"/>
                        <w:bottom w:val="none" w:sz="0" w:space="0" w:color="auto"/>
                        <w:right w:val="none" w:sz="0" w:space="0" w:color="auto"/>
                      </w:divBdr>
                      <w:divsChild>
                        <w:div w:id="113406868">
                          <w:marLeft w:val="0"/>
                          <w:marRight w:val="0"/>
                          <w:marTop w:val="0"/>
                          <w:marBottom w:val="0"/>
                          <w:divBdr>
                            <w:top w:val="none" w:sz="0" w:space="0" w:color="auto"/>
                            <w:left w:val="none" w:sz="0" w:space="0" w:color="auto"/>
                            <w:bottom w:val="none" w:sz="0" w:space="0" w:color="auto"/>
                            <w:right w:val="none" w:sz="0" w:space="0" w:color="auto"/>
                          </w:divBdr>
                          <w:divsChild>
                            <w:div w:id="214780039">
                              <w:marLeft w:val="0"/>
                              <w:marRight w:val="0"/>
                              <w:marTop w:val="0"/>
                              <w:marBottom w:val="0"/>
                              <w:divBdr>
                                <w:top w:val="none" w:sz="0" w:space="0" w:color="auto"/>
                                <w:left w:val="none" w:sz="0" w:space="0" w:color="auto"/>
                                <w:bottom w:val="none" w:sz="0" w:space="0" w:color="auto"/>
                                <w:right w:val="none" w:sz="0" w:space="0" w:color="auto"/>
                              </w:divBdr>
                              <w:divsChild>
                                <w:div w:id="316957893">
                                  <w:marLeft w:val="0"/>
                                  <w:marRight w:val="0"/>
                                  <w:marTop w:val="0"/>
                                  <w:marBottom w:val="0"/>
                                  <w:divBdr>
                                    <w:top w:val="none" w:sz="0" w:space="0" w:color="auto"/>
                                    <w:left w:val="none" w:sz="0" w:space="0" w:color="auto"/>
                                    <w:bottom w:val="none" w:sz="0" w:space="0" w:color="auto"/>
                                    <w:right w:val="none" w:sz="0" w:space="0" w:color="auto"/>
                                  </w:divBdr>
                                  <w:divsChild>
                                    <w:div w:id="109308695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713388929">
                                          <w:marLeft w:val="0"/>
                                          <w:marRight w:val="0"/>
                                          <w:marTop w:val="0"/>
                                          <w:marBottom w:val="0"/>
                                          <w:divBdr>
                                            <w:top w:val="none" w:sz="0" w:space="0" w:color="auto"/>
                                            <w:left w:val="none" w:sz="0" w:space="0" w:color="auto"/>
                                            <w:bottom w:val="none" w:sz="0" w:space="0" w:color="auto"/>
                                            <w:right w:val="none" w:sz="0" w:space="0" w:color="auto"/>
                                          </w:divBdr>
                                          <w:divsChild>
                                            <w:div w:id="772936806">
                                              <w:marLeft w:val="0"/>
                                              <w:marRight w:val="0"/>
                                              <w:marTop w:val="0"/>
                                              <w:marBottom w:val="0"/>
                                              <w:divBdr>
                                                <w:top w:val="none" w:sz="0" w:space="0" w:color="auto"/>
                                                <w:left w:val="none" w:sz="0" w:space="0" w:color="auto"/>
                                                <w:bottom w:val="none" w:sz="0" w:space="0" w:color="auto"/>
                                                <w:right w:val="none" w:sz="0" w:space="0" w:color="auto"/>
                                              </w:divBdr>
                                              <w:divsChild>
                                                <w:div w:id="71007922">
                                                  <w:marLeft w:val="0"/>
                                                  <w:marRight w:val="0"/>
                                                  <w:marTop w:val="0"/>
                                                  <w:marBottom w:val="0"/>
                                                  <w:divBdr>
                                                    <w:top w:val="none" w:sz="0" w:space="0" w:color="auto"/>
                                                    <w:left w:val="none" w:sz="0" w:space="0" w:color="auto"/>
                                                    <w:bottom w:val="none" w:sz="0" w:space="0" w:color="auto"/>
                                                    <w:right w:val="none" w:sz="0" w:space="0" w:color="auto"/>
                                                  </w:divBdr>
                                                  <w:divsChild>
                                                    <w:div w:id="81861615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21557802">
                                                          <w:marLeft w:val="0"/>
                                                          <w:marRight w:val="0"/>
                                                          <w:marTop w:val="0"/>
                                                          <w:marBottom w:val="0"/>
                                                          <w:divBdr>
                                                            <w:top w:val="none" w:sz="0" w:space="0" w:color="auto"/>
                                                            <w:left w:val="none" w:sz="0" w:space="0" w:color="auto"/>
                                                            <w:bottom w:val="none" w:sz="0" w:space="0" w:color="auto"/>
                                                            <w:right w:val="none" w:sz="0" w:space="0" w:color="auto"/>
                                                          </w:divBdr>
                                                          <w:divsChild>
                                                            <w:div w:id="11234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6658845">
      <w:bodyDiv w:val="1"/>
      <w:marLeft w:val="0"/>
      <w:marRight w:val="0"/>
      <w:marTop w:val="0"/>
      <w:marBottom w:val="0"/>
      <w:divBdr>
        <w:top w:val="none" w:sz="0" w:space="0" w:color="auto"/>
        <w:left w:val="none" w:sz="0" w:space="0" w:color="auto"/>
        <w:bottom w:val="none" w:sz="0" w:space="0" w:color="auto"/>
        <w:right w:val="none" w:sz="0" w:space="0" w:color="auto"/>
      </w:divBdr>
    </w:div>
    <w:div w:id="1151482141">
      <w:bodyDiv w:val="1"/>
      <w:marLeft w:val="0"/>
      <w:marRight w:val="0"/>
      <w:marTop w:val="0"/>
      <w:marBottom w:val="0"/>
      <w:divBdr>
        <w:top w:val="none" w:sz="0" w:space="0" w:color="auto"/>
        <w:left w:val="none" w:sz="0" w:space="0" w:color="auto"/>
        <w:bottom w:val="none" w:sz="0" w:space="0" w:color="auto"/>
        <w:right w:val="none" w:sz="0" w:space="0" w:color="auto"/>
      </w:divBdr>
    </w:div>
    <w:div w:id="1435856213">
      <w:bodyDiv w:val="1"/>
      <w:marLeft w:val="0"/>
      <w:marRight w:val="0"/>
      <w:marTop w:val="0"/>
      <w:marBottom w:val="0"/>
      <w:divBdr>
        <w:top w:val="none" w:sz="0" w:space="0" w:color="auto"/>
        <w:left w:val="none" w:sz="0" w:space="0" w:color="auto"/>
        <w:bottom w:val="none" w:sz="0" w:space="0" w:color="auto"/>
        <w:right w:val="none" w:sz="0" w:space="0" w:color="auto"/>
      </w:divBdr>
      <w:divsChild>
        <w:div w:id="20543111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6004217">
              <w:marLeft w:val="0"/>
              <w:marRight w:val="0"/>
              <w:marTop w:val="0"/>
              <w:marBottom w:val="0"/>
              <w:divBdr>
                <w:top w:val="none" w:sz="0" w:space="0" w:color="auto"/>
                <w:left w:val="none" w:sz="0" w:space="0" w:color="auto"/>
                <w:bottom w:val="none" w:sz="0" w:space="0" w:color="auto"/>
                <w:right w:val="none" w:sz="0" w:space="0" w:color="auto"/>
              </w:divBdr>
              <w:divsChild>
                <w:div w:id="1143045011">
                  <w:marLeft w:val="0"/>
                  <w:marRight w:val="0"/>
                  <w:marTop w:val="0"/>
                  <w:marBottom w:val="0"/>
                  <w:divBdr>
                    <w:top w:val="none" w:sz="0" w:space="0" w:color="auto"/>
                    <w:left w:val="none" w:sz="0" w:space="0" w:color="auto"/>
                    <w:bottom w:val="none" w:sz="0" w:space="0" w:color="auto"/>
                    <w:right w:val="none" w:sz="0" w:space="0" w:color="auto"/>
                  </w:divBdr>
                  <w:divsChild>
                    <w:div w:id="542983675">
                      <w:marLeft w:val="0"/>
                      <w:marRight w:val="0"/>
                      <w:marTop w:val="0"/>
                      <w:marBottom w:val="0"/>
                      <w:divBdr>
                        <w:top w:val="none" w:sz="0" w:space="0" w:color="auto"/>
                        <w:left w:val="none" w:sz="0" w:space="0" w:color="auto"/>
                        <w:bottom w:val="none" w:sz="0" w:space="0" w:color="auto"/>
                        <w:right w:val="none" w:sz="0" w:space="0" w:color="auto"/>
                      </w:divBdr>
                      <w:divsChild>
                        <w:div w:id="989288708">
                          <w:marLeft w:val="0"/>
                          <w:marRight w:val="0"/>
                          <w:marTop w:val="0"/>
                          <w:marBottom w:val="0"/>
                          <w:divBdr>
                            <w:top w:val="none" w:sz="0" w:space="0" w:color="auto"/>
                            <w:left w:val="none" w:sz="0" w:space="0" w:color="auto"/>
                            <w:bottom w:val="none" w:sz="0" w:space="0" w:color="auto"/>
                            <w:right w:val="none" w:sz="0" w:space="0" w:color="auto"/>
                          </w:divBdr>
                          <w:divsChild>
                            <w:div w:id="151068265">
                              <w:marLeft w:val="0"/>
                              <w:marRight w:val="0"/>
                              <w:marTop w:val="0"/>
                              <w:marBottom w:val="0"/>
                              <w:divBdr>
                                <w:top w:val="none" w:sz="0" w:space="0" w:color="auto"/>
                                <w:left w:val="none" w:sz="0" w:space="0" w:color="auto"/>
                                <w:bottom w:val="none" w:sz="0" w:space="0" w:color="auto"/>
                                <w:right w:val="none" w:sz="0" w:space="0" w:color="auto"/>
                              </w:divBdr>
                              <w:divsChild>
                                <w:div w:id="2067138807">
                                  <w:marLeft w:val="0"/>
                                  <w:marRight w:val="0"/>
                                  <w:marTop w:val="0"/>
                                  <w:marBottom w:val="0"/>
                                  <w:divBdr>
                                    <w:top w:val="none" w:sz="0" w:space="0" w:color="auto"/>
                                    <w:left w:val="none" w:sz="0" w:space="0" w:color="auto"/>
                                    <w:bottom w:val="none" w:sz="0" w:space="0" w:color="auto"/>
                                    <w:right w:val="none" w:sz="0" w:space="0" w:color="auto"/>
                                  </w:divBdr>
                                  <w:divsChild>
                                    <w:div w:id="118902437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38084711">
                                          <w:marLeft w:val="0"/>
                                          <w:marRight w:val="0"/>
                                          <w:marTop w:val="0"/>
                                          <w:marBottom w:val="0"/>
                                          <w:divBdr>
                                            <w:top w:val="none" w:sz="0" w:space="0" w:color="auto"/>
                                            <w:left w:val="none" w:sz="0" w:space="0" w:color="auto"/>
                                            <w:bottom w:val="none" w:sz="0" w:space="0" w:color="auto"/>
                                            <w:right w:val="none" w:sz="0" w:space="0" w:color="auto"/>
                                          </w:divBdr>
                                          <w:divsChild>
                                            <w:div w:id="1813401908">
                                              <w:marLeft w:val="0"/>
                                              <w:marRight w:val="0"/>
                                              <w:marTop w:val="0"/>
                                              <w:marBottom w:val="0"/>
                                              <w:divBdr>
                                                <w:top w:val="none" w:sz="0" w:space="0" w:color="auto"/>
                                                <w:left w:val="none" w:sz="0" w:space="0" w:color="auto"/>
                                                <w:bottom w:val="none" w:sz="0" w:space="0" w:color="auto"/>
                                                <w:right w:val="none" w:sz="0" w:space="0" w:color="auto"/>
                                              </w:divBdr>
                                              <w:divsChild>
                                                <w:div w:id="1540358804">
                                                  <w:marLeft w:val="0"/>
                                                  <w:marRight w:val="0"/>
                                                  <w:marTop w:val="0"/>
                                                  <w:marBottom w:val="0"/>
                                                  <w:divBdr>
                                                    <w:top w:val="none" w:sz="0" w:space="0" w:color="auto"/>
                                                    <w:left w:val="none" w:sz="0" w:space="0" w:color="auto"/>
                                                    <w:bottom w:val="none" w:sz="0" w:space="0" w:color="auto"/>
                                                    <w:right w:val="none" w:sz="0" w:space="0" w:color="auto"/>
                                                  </w:divBdr>
                                                  <w:divsChild>
                                                    <w:div w:id="130307400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89875734">
                                                          <w:marLeft w:val="0"/>
                                                          <w:marRight w:val="0"/>
                                                          <w:marTop w:val="0"/>
                                                          <w:marBottom w:val="0"/>
                                                          <w:divBdr>
                                                            <w:top w:val="none" w:sz="0" w:space="0" w:color="auto"/>
                                                            <w:left w:val="none" w:sz="0" w:space="0" w:color="auto"/>
                                                            <w:bottom w:val="none" w:sz="0" w:space="0" w:color="auto"/>
                                                            <w:right w:val="none" w:sz="0" w:space="0" w:color="auto"/>
                                                          </w:divBdr>
                                                          <w:divsChild>
                                                            <w:div w:id="48655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4604506">
      <w:bodyDiv w:val="1"/>
      <w:marLeft w:val="0"/>
      <w:marRight w:val="0"/>
      <w:marTop w:val="0"/>
      <w:marBottom w:val="0"/>
      <w:divBdr>
        <w:top w:val="none" w:sz="0" w:space="0" w:color="auto"/>
        <w:left w:val="none" w:sz="0" w:space="0" w:color="auto"/>
        <w:bottom w:val="none" w:sz="0" w:space="0" w:color="auto"/>
        <w:right w:val="none" w:sz="0" w:space="0" w:color="auto"/>
      </w:divBdr>
      <w:divsChild>
        <w:div w:id="18801624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0542276">
              <w:marLeft w:val="0"/>
              <w:marRight w:val="0"/>
              <w:marTop w:val="0"/>
              <w:marBottom w:val="0"/>
              <w:divBdr>
                <w:top w:val="none" w:sz="0" w:space="0" w:color="auto"/>
                <w:left w:val="none" w:sz="0" w:space="0" w:color="auto"/>
                <w:bottom w:val="none" w:sz="0" w:space="0" w:color="auto"/>
                <w:right w:val="none" w:sz="0" w:space="0" w:color="auto"/>
              </w:divBdr>
              <w:divsChild>
                <w:div w:id="964041831">
                  <w:marLeft w:val="0"/>
                  <w:marRight w:val="0"/>
                  <w:marTop w:val="0"/>
                  <w:marBottom w:val="0"/>
                  <w:divBdr>
                    <w:top w:val="none" w:sz="0" w:space="0" w:color="auto"/>
                    <w:left w:val="none" w:sz="0" w:space="0" w:color="auto"/>
                    <w:bottom w:val="none" w:sz="0" w:space="0" w:color="auto"/>
                    <w:right w:val="none" w:sz="0" w:space="0" w:color="auto"/>
                  </w:divBdr>
                  <w:divsChild>
                    <w:div w:id="1731609646">
                      <w:marLeft w:val="0"/>
                      <w:marRight w:val="0"/>
                      <w:marTop w:val="0"/>
                      <w:marBottom w:val="0"/>
                      <w:divBdr>
                        <w:top w:val="none" w:sz="0" w:space="0" w:color="auto"/>
                        <w:left w:val="none" w:sz="0" w:space="0" w:color="auto"/>
                        <w:bottom w:val="none" w:sz="0" w:space="0" w:color="auto"/>
                        <w:right w:val="none" w:sz="0" w:space="0" w:color="auto"/>
                      </w:divBdr>
                      <w:divsChild>
                        <w:div w:id="1647930371">
                          <w:marLeft w:val="0"/>
                          <w:marRight w:val="0"/>
                          <w:marTop w:val="0"/>
                          <w:marBottom w:val="0"/>
                          <w:divBdr>
                            <w:top w:val="none" w:sz="0" w:space="0" w:color="auto"/>
                            <w:left w:val="none" w:sz="0" w:space="0" w:color="auto"/>
                            <w:bottom w:val="none" w:sz="0" w:space="0" w:color="auto"/>
                            <w:right w:val="none" w:sz="0" w:space="0" w:color="auto"/>
                          </w:divBdr>
                          <w:divsChild>
                            <w:div w:id="509177646">
                              <w:marLeft w:val="0"/>
                              <w:marRight w:val="0"/>
                              <w:marTop w:val="0"/>
                              <w:marBottom w:val="0"/>
                              <w:divBdr>
                                <w:top w:val="none" w:sz="0" w:space="0" w:color="auto"/>
                                <w:left w:val="none" w:sz="0" w:space="0" w:color="auto"/>
                                <w:bottom w:val="none" w:sz="0" w:space="0" w:color="auto"/>
                                <w:right w:val="none" w:sz="0" w:space="0" w:color="auto"/>
                              </w:divBdr>
                              <w:divsChild>
                                <w:div w:id="736783585">
                                  <w:marLeft w:val="0"/>
                                  <w:marRight w:val="0"/>
                                  <w:marTop w:val="0"/>
                                  <w:marBottom w:val="0"/>
                                  <w:divBdr>
                                    <w:top w:val="none" w:sz="0" w:space="0" w:color="auto"/>
                                    <w:left w:val="none" w:sz="0" w:space="0" w:color="auto"/>
                                    <w:bottom w:val="none" w:sz="0" w:space="0" w:color="auto"/>
                                    <w:right w:val="none" w:sz="0" w:space="0" w:color="auto"/>
                                  </w:divBdr>
                                  <w:divsChild>
                                    <w:div w:id="45228468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12154149">
                                          <w:marLeft w:val="0"/>
                                          <w:marRight w:val="0"/>
                                          <w:marTop w:val="0"/>
                                          <w:marBottom w:val="0"/>
                                          <w:divBdr>
                                            <w:top w:val="none" w:sz="0" w:space="0" w:color="auto"/>
                                            <w:left w:val="none" w:sz="0" w:space="0" w:color="auto"/>
                                            <w:bottom w:val="none" w:sz="0" w:space="0" w:color="auto"/>
                                            <w:right w:val="none" w:sz="0" w:space="0" w:color="auto"/>
                                          </w:divBdr>
                                          <w:divsChild>
                                            <w:div w:id="557788070">
                                              <w:marLeft w:val="0"/>
                                              <w:marRight w:val="0"/>
                                              <w:marTop w:val="0"/>
                                              <w:marBottom w:val="0"/>
                                              <w:divBdr>
                                                <w:top w:val="none" w:sz="0" w:space="0" w:color="auto"/>
                                                <w:left w:val="none" w:sz="0" w:space="0" w:color="auto"/>
                                                <w:bottom w:val="none" w:sz="0" w:space="0" w:color="auto"/>
                                                <w:right w:val="none" w:sz="0" w:space="0" w:color="auto"/>
                                              </w:divBdr>
                                              <w:divsChild>
                                                <w:div w:id="937903730">
                                                  <w:marLeft w:val="0"/>
                                                  <w:marRight w:val="0"/>
                                                  <w:marTop w:val="0"/>
                                                  <w:marBottom w:val="0"/>
                                                  <w:divBdr>
                                                    <w:top w:val="none" w:sz="0" w:space="0" w:color="auto"/>
                                                    <w:left w:val="none" w:sz="0" w:space="0" w:color="auto"/>
                                                    <w:bottom w:val="none" w:sz="0" w:space="0" w:color="auto"/>
                                                    <w:right w:val="none" w:sz="0" w:space="0" w:color="auto"/>
                                                  </w:divBdr>
                                                  <w:divsChild>
                                                    <w:div w:id="100532753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67047027">
                                                          <w:marLeft w:val="0"/>
                                                          <w:marRight w:val="0"/>
                                                          <w:marTop w:val="0"/>
                                                          <w:marBottom w:val="0"/>
                                                          <w:divBdr>
                                                            <w:top w:val="none" w:sz="0" w:space="0" w:color="auto"/>
                                                            <w:left w:val="none" w:sz="0" w:space="0" w:color="auto"/>
                                                            <w:bottom w:val="none" w:sz="0" w:space="0" w:color="auto"/>
                                                            <w:right w:val="none" w:sz="0" w:space="0" w:color="auto"/>
                                                          </w:divBdr>
                                                          <w:divsChild>
                                                            <w:div w:id="8947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0BC1200348A243A0B21B44649ECA5C" ma:contentTypeVersion="10" ma:contentTypeDescription="Create a new document." ma:contentTypeScope="" ma:versionID="ca0fad069220e4445958c2c92b9e3f98">
  <xsd:schema xmlns:xsd="http://www.w3.org/2001/XMLSchema" xmlns:xs="http://www.w3.org/2001/XMLSchema" xmlns:p="http://schemas.microsoft.com/office/2006/metadata/properties" xmlns:ns2="c8d970cf-7e7f-4834-b3cf-fa5ee15f3199" xmlns:ns3="d1d141cb-a3ba-45fb-807d-17cd5a515b06" targetNamespace="http://schemas.microsoft.com/office/2006/metadata/properties" ma:root="true" ma:fieldsID="417afca80bca07da25e30bb7c45f8f92" ns2:_="" ns3:_="">
    <xsd:import namespace="c8d970cf-7e7f-4834-b3cf-fa5ee15f3199"/>
    <xsd:import namespace="d1d141cb-a3ba-45fb-807d-17cd5a515b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970cf-7e7f-4834-b3cf-fa5ee15f31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12e3c-778e-48b6-8c19-741b2e9db4b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d141cb-a3ba-45fb-807d-17cd5a515b0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c73bab3-07f1-40a4-a40e-d29a614d7b2e}" ma:internalName="TaxCatchAll" ma:showField="CatchAllData" ma:web="d1d141cb-a3ba-45fb-807d-17cd5a515b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1d141cb-a3ba-45fb-807d-17cd5a515b06" xsi:nil="true"/>
    <lcf76f155ced4ddcb4097134ff3c332f xmlns="c8d970cf-7e7f-4834-b3cf-fa5ee15f319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B5DD9-AF76-4D9B-B31C-FA7A7A9BB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970cf-7e7f-4834-b3cf-fa5ee15f3199"/>
    <ds:schemaRef ds:uri="d1d141cb-a3ba-45fb-807d-17cd5a515b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A8E4BF-EA28-4655-A518-EDF7AC699B7A}">
  <ds:schemaRefs>
    <ds:schemaRef ds:uri="http://schemas.microsoft.com/office/2006/metadata/properties"/>
    <ds:schemaRef ds:uri="http://schemas.microsoft.com/office/infopath/2007/PartnerControls"/>
    <ds:schemaRef ds:uri="d1d141cb-a3ba-45fb-807d-17cd5a515b06"/>
    <ds:schemaRef ds:uri="c8d970cf-7e7f-4834-b3cf-fa5ee15f3199"/>
  </ds:schemaRefs>
</ds:datastoreItem>
</file>

<file path=customXml/itemProps3.xml><?xml version="1.0" encoding="utf-8"?>
<ds:datastoreItem xmlns:ds="http://schemas.openxmlformats.org/officeDocument/2006/customXml" ds:itemID="{1DFBF72E-ECC7-41C7-8A13-0E78A3F31882}">
  <ds:schemaRefs>
    <ds:schemaRef ds:uri="http://schemas.microsoft.com/sharepoint/v3/contenttype/forms"/>
  </ds:schemaRefs>
</ds:datastoreItem>
</file>

<file path=customXml/itemProps4.xml><?xml version="1.0" encoding="utf-8"?>
<ds:datastoreItem xmlns:ds="http://schemas.openxmlformats.org/officeDocument/2006/customXml" ds:itemID="{609708D8-0D73-4A1E-BCE5-C80562990D8C}">
  <ds:schemaRefs>
    <ds:schemaRef ds:uri="http://schemas.openxmlformats.org/officeDocument/2006/bibliography"/>
  </ds:schemaRefs>
</ds:datastoreItem>
</file>

<file path=docMetadata/LabelInfo.xml><?xml version="1.0" encoding="utf-8"?>
<clbl:labelList xmlns:clbl="http://schemas.microsoft.com/office/2020/mipLabelMetadata">
  <clbl:label id="{c135c4ba-2280-41f8-be7d-6f21d368baa3}"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 Shumate</dc:creator>
  <cp:keywords/>
  <dc:description/>
  <cp:lastModifiedBy>John R. Pitts. Jr.</cp:lastModifiedBy>
  <cp:revision>2</cp:revision>
  <cp:lastPrinted>2024-08-02T20:48:00Z</cp:lastPrinted>
  <dcterms:created xsi:type="dcterms:W3CDTF">2025-04-03T22:33:00Z</dcterms:created>
  <dcterms:modified xsi:type="dcterms:W3CDTF">2025-04-03T22:33:00Z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0x010100BF0BC1200348A243A0B21B44649ECA5C</vt:lpwstr>
  </property>
  <property fmtid="{D5CDD505-2E9C-101B-9397-08002B2CF9AE}" pid="3" name="MediaServiceImageTags">
    <vt:lpwstr/>
  </property>
</Properties>
</file>